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8D" w:rsidRDefault="0065748D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48D" w:rsidRDefault="0065748D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761A" w:rsidRPr="008C4DDC" w:rsidRDefault="00D1761A" w:rsidP="00D176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2A02B3" w:rsidRDefault="002A02B3" w:rsidP="00D176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761A" w:rsidRPr="008C4DDC" w:rsidRDefault="00D1761A" w:rsidP="00D176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D1761A" w:rsidRPr="008C4DDC" w:rsidRDefault="00D1761A" w:rsidP="00D176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D1761A" w:rsidRPr="008C4DDC" w:rsidRDefault="00D1761A" w:rsidP="00D17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от «     »                     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C4DDC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          </w:t>
      </w:r>
    </w:p>
    <w:p w:rsidR="0061372F" w:rsidRDefault="0061372F" w:rsidP="0061372F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(далее – Программа)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755D1A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17"/>
      </w:tblGrid>
      <w:tr w:rsidR="000016C1" w:rsidTr="000016C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(далее-УСЗН ЧГО).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6C1" w:rsidTr="001269C2">
        <w:trPr>
          <w:trHeight w:val="132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00134" w:rsidRDefault="000016C1" w:rsidP="0012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Че</w:t>
            </w:r>
            <w:r w:rsidR="001269C2" w:rsidRPr="00126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баркульского городского округа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Управление муниципальной собственности</w:t>
            </w:r>
            <w:r w:rsidR="00FA43BB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(далее-УМС ЧГО</w:t>
            </w:r>
            <w:r w:rsidR="009C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016C1" w:rsidTr="000016C1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0D6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Чебаркульского городского округа</w:t>
            </w:r>
            <w:r w:rsidR="000D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0016C1" w:rsidTr="000016C1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653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</w:t>
            </w:r>
            <w:r w:rsidR="00365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способствующих развитию потенциала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  <w:r w:rsidR="00365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его эффективному использованию в решении задач социально-экономического развития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Чебаркульского   городского округа.</w:t>
            </w:r>
          </w:p>
        </w:tc>
      </w:tr>
      <w:tr w:rsidR="000016C1" w:rsidTr="000016C1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13B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0" w:rsidRDefault="00365D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округа.</w:t>
            </w:r>
          </w:p>
        </w:tc>
      </w:tr>
      <w:tr w:rsidR="000016C1" w:rsidTr="000016C1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 программы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0BEB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>-</w:t>
            </w:r>
            <w:r w:rsidR="00ED0BEB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носит постоянный характер. 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0016C1" w:rsidTr="000016C1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Подпрограммы отсутствуют.</w:t>
            </w:r>
          </w:p>
          <w:p w:rsidR="000016C1" w:rsidRDefault="00001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C1" w:rsidTr="000016C1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A34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3 375</w:t>
            </w:r>
            <w:r w:rsid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A34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  <w:r w:rsid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</w:t>
            </w:r>
            <w:r w:rsidR="00F60AC7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A34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A34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074B32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A34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074B32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A34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074B32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A34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074B32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A34D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74B32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074B32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0016C1" w:rsidRPr="00E00134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</w:tc>
      </w:tr>
      <w:tr w:rsidR="000016C1" w:rsidTr="005F0B62">
        <w:trPr>
          <w:trHeight w:val="252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F7E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</w:t>
            </w:r>
            <w:r w:rsidR="00F1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индикаторы и показатели </w:t>
            </w:r>
            <w:r w:rsidR="0000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ED0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0016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</w:t>
            </w:r>
            <w:r w:rsidR="00F1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которым оказана финансовая поддержка</w:t>
            </w:r>
            <w:r w:rsidR="00F14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не менее </w:t>
            </w:r>
            <w:r w:rsidR="00E2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СОНКО</w:t>
            </w:r>
            <w:r w:rsidR="000016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Pr="00E00134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FE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5B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оличество действующих договоров безвозмездного пользования, заключенных с СОНКО</w:t>
            </w:r>
            <w:r w:rsidR="00AF6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менее 4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9E7C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0F67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  <w:r w:rsidR="007E6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менее </w:t>
            </w:r>
            <w:r w:rsidR="00E26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Pr="002F64E4" w:rsidRDefault="000016C1" w:rsidP="00D14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</w:t>
            </w:r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</w:t>
            </w:r>
            <w:proofErr w:type="gramStart"/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которые</w:t>
            </w:r>
            <w:proofErr w:type="gramEnd"/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приняли участие в информационно-методических мероприятиях в течение 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отчетного периода – не менее </w:t>
            </w:r>
            <w:r w:rsidR="00D14B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0AC7" w:rsidRPr="002F6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016C1" w:rsidTr="005F0B62">
        <w:trPr>
          <w:trHeight w:val="204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0016C1" w:rsidRDefault="000016C1" w:rsidP="000F6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 муниципальной программы к 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Расширение форм поддержки СОНКО;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условий для повышения престижности деятельности  в некоммерческом секторе;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Расширение участия граждан в деятельности СОНКО на добровольной основе;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качества социальных услуг, предоставляемых СОНКО населению;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деятельности СОНКО.</w:t>
            </w:r>
          </w:p>
        </w:tc>
      </w:tr>
    </w:tbl>
    <w:p w:rsidR="005F0B62" w:rsidRDefault="005F0B62" w:rsidP="000016C1">
      <w:pPr>
        <w:spacing w:after="0" w:line="240" w:lineRule="auto"/>
        <w:ind w:left="12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ED50DC" w:rsidP="000016C1">
      <w:pPr>
        <w:spacing w:after="0" w:line="240" w:lineRule="auto"/>
        <w:ind w:left="12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F40F2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Содержание проблемы и обоснование необходимости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программными методами</w:t>
      </w:r>
    </w:p>
    <w:p w:rsidR="000016C1" w:rsidRDefault="000016C1" w:rsidP="000016C1">
      <w:pPr>
        <w:spacing w:after="0" w:line="240" w:lineRule="auto"/>
        <w:ind w:left="1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«Поддержка социально ориентированных некоммерческих организаций Чебаркульского городского </w:t>
      </w:r>
      <w:r w:rsidR="00446A36">
        <w:rPr>
          <w:rFonts w:ascii="Times New Roman" w:eastAsia="Times New Roman" w:hAnsi="Times New Roman"/>
          <w:sz w:val="28"/>
          <w:szCs w:val="28"/>
          <w:lang w:eastAsia="ru-RU"/>
        </w:rPr>
        <w:t>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D0BE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ED0BE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0B62A5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емы, но и проблемы других людей.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</w:t>
      </w:r>
      <w:r w:rsidR="00E2686C">
        <w:rPr>
          <w:rFonts w:ascii="Times New Roman" w:eastAsia="Times New Roman" w:hAnsi="Times New Roman"/>
          <w:sz w:val="28"/>
          <w:szCs w:val="28"/>
          <w:lang w:eastAsia="ru-RU"/>
        </w:rPr>
        <w:t>ном Российской Федерации</w:t>
      </w:r>
      <w:r w:rsid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2003 года № </w:t>
      </w:r>
      <w:r w:rsidRPr="00786411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</w:t>
      </w:r>
      <w:r w:rsidR="007D27EC">
        <w:rPr>
          <w:rFonts w:ascii="Times New Roman" w:hAnsi="Times New Roman"/>
          <w:sz w:val="28"/>
          <w:szCs w:val="28"/>
        </w:rPr>
        <w:t xml:space="preserve">  Федеральным законом </w:t>
      </w:r>
      <w:r w:rsidRPr="00013753">
        <w:rPr>
          <w:rFonts w:ascii="Times New Roman" w:hAnsi="Times New Roman"/>
          <w:sz w:val="28"/>
          <w:szCs w:val="28"/>
        </w:rPr>
        <w:t>Р</w:t>
      </w:r>
      <w:r w:rsidR="00013753">
        <w:rPr>
          <w:rFonts w:ascii="Times New Roman" w:hAnsi="Times New Roman"/>
          <w:sz w:val="28"/>
          <w:szCs w:val="28"/>
        </w:rPr>
        <w:t xml:space="preserve">оссийской </w:t>
      </w:r>
      <w:r w:rsidR="00013753">
        <w:rPr>
          <w:rFonts w:ascii="Times New Roman" w:hAnsi="Times New Roman"/>
          <w:sz w:val="28"/>
          <w:szCs w:val="28"/>
        </w:rPr>
        <w:lastRenderedPageBreak/>
        <w:t>Федерации от 12.01.</w:t>
      </w:r>
      <w:r w:rsidR="00ED0BEB">
        <w:rPr>
          <w:rFonts w:ascii="Times New Roman" w:hAnsi="Times New Roman"/>
          <w:sz w:val="28"/>
          <w:szCs w:val="28"/>
        </w:rPr>
        <w:t xml:space="preserve">1996 года № </w:t>
      </w:r>
      <w:r w:rsidRPr="00786411">
        <w:rPr>
          <w:rFonts w:ascii="Times New Roman" w:hAnsi="Times New Roman"/>
          <w:sz w:val="28"/>
          <w:szCs w:val="28"/>
        </w:rPr>
        <w:t>7-ФЗ</w:t>
      </w:r>
      <w:r w:rsidRPr="00013753">
        <w:rPr>
          <w:rFonts w:ascii="Times New Roman" w:hAnsi="Times New Roman"/>
          <w:sz w:val="28"/>
          <w:szCs w:val="28"/>
        </w:rPr>
        <w:t xml:space="preserve"> «О некоммерческих организациях»</w:t>
      </w:r>
      <w:r w:rsidR="009C3FC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  <w:proofErr w:type="gramEnd"/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0016C1" w:rsidRPr="0027374C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753">
        <w:rPr>
          <w:rFonts w:ascii="Times New Roman" w:hAnsi="Times New Roman"/>
          <w:sz w:val="28"/>
          <w:szCs w:val="28"/>
          <w:lang w:eastAsia="ru-RU"/>
        </w:rPr>
        <w:t>Реализаци</w:t>
      </w:r>
      <w:r w:rsidR="006D2D3A">
        <w:rPr>
          <w:rFonts w:ascii="Times New Roman" w:hAnsi="Times New Roman"/>
          <w:sz w:val="28"/>
          <w:szCs w:val="28"/>
          <w:lang w:eastAsia="ru-RU"/>
        </w:rPr>
        <w:t>я муниципальной программы также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прох</w:t>
      </w:r>
      <w:r w:rsidR="006D2D3A">
        <w:rPr>
          <w:rFonts w:ascii="Times New Roman" w:hAnsi="Times New Roman"/>
          <w:sz w:val="28"/>
          <w:szCs w:val="28"/>
          <w:lang w:eastAsia="ru-RU"/>
        </w:rPr>
        <w:t>одит в рамках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013753" w:rsidRPr="00013753">
        <w:rPr>
          <w:rFonts w:ascii="Times New Roman" w:hAnsi="Times New Roman"/>
          <w:sz w:val="28"/>
          <w:szCs w:val="28"/>
          <w:lang w:eastAsia="ru-RU"/>
        </w:rPr>
        <w:t xml:space="preserve"> от 24.11.1995 года</w:t>
      </w:r>
      <w:r w:rsidR="007D27E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786411">
        <w:rPr>
          <w:rFonts w:ascii="Times New Roman" w:hAnsi="Times New Roman"/>
          <w:sz w:val="28"/>
          <w:szCs w:val="28"/>
          <w:lang w:eastAsia="ru-RU"/>
        </w:rPr>
        <w:t>181-ФЗ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«О социальной защите инв</w:t>
      </w:r>
      <w:r w:rsidR="007D27EC">
        <w:rPr>
          <w:rFonts w:ascii="Times New Roman" w:hAnsi="Times New Roman"/>
          <w:sz w:val="28"/>
          <w:szCs w:val="28"/>
          <w:lang w:eastAsia="ru-RU"/>
        </w:rPr>
        <w:t>алидов в Российской Федерации»</w:t>
      </w:r>
      <w:proofErr w:type="gramStart"/>
      <w:r w:rsidR="007D27EC">
        <w:rPr>
          <w:rFonts w:ascii="Times New Roman" w:hAnsi="Times New Roman"/>
          <w:sz w:val="28"/>
          <w:szCs w:val="28"/>
          <w:lang w:eastAsia="ru-RU"/>
        </w:rPr>
        <w:t>,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каза Президе</w:t>
      </w:r>
      <w:r w:rsidR="00013753" w:rsidRPr="00013753">
        <w:rPr>
          <w:rFonts w:ascii="Times New Roman" w:eastAsia="Times New Roman" w:hAnsi="Times New Roman"/>
          <w:sz w:val="28"/>
          <w:szCs w:val="28"/>
          <w:lang w:eastAsia="ru-RU"/>
        </w:rPr>
        <w:t>нта Российс</w:t>
      </w:r>
      <w:r w:rsidR="00ED0BEB">
        <w:rPr>
          <w:rFonts w:ascii="Times New Roman" w:eastAsia="Times New Roman" w:hAnsi="Times New Roman"/>
          <w:sz w:val="28"/>
          <w:szCs w:val="28"/>
          <w:lang w:eastAsia="ru-RU"/>
        </w:rPr>
        <w:t xml:space="preserve">кой Федерации от </w:t>
      </w:r>
      <w:r w:rsidR="00013753" w:rsidRPr="00013753">
        <w:rPr>
          <w:rFonts w:ascii="Times New Roman" w:eastAsia="Times New Roman" w:hAnsi="Times New Roman"/>
          <w:sz w:val="28"/>
          <w:szCs w:val="28"/>
          <w:lang w:eastAsia="ru-RU"/>
        </w:rPr>
        <w:t>07.05.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2012 года </w:t>
      </w:r>
      <w:r w:rsidRPr="00786411">
        <w:rPr>
          <w:rFonts w:ascii="Times New Roman" w:eastAsia="Times New Roman" w:hAnsi="Times New Roman"/>
          <w:sz w:val="28"/>
          <w:szCs w:val="28"/>
          <w:lang w:eastAsia="ru-RU"/>
        </w:rPr>
        <w:t>№ 597</w:t>
      </w:r>
      <w:r w:rsidR="0078641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государственной социальной политики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</w:t>
      </w:r>
      <w:r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на оказание финансовой поддержки социально ориентированным некоммерческим организациям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из бюджета Чебаркульского городского округа, утвержденного постановлением администрации Чебаркульского городского округа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>.06.20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A43F5" w:rsidRPr="006D2D3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D2D3A" w:rsidRPr="006D2D3A">
        <w:rPr>
          <w:rFonts w:ascii="Times New Roman" w:eastAsia="Times New Roman" w:hAnsi="Times New Roman"/>
          <w:sz w:val="28"/>
          <w:szCs w:val="28"/>
          <w:lang w:eastAsia="ru-RU"/>
        </w:rPr>
        <w:t>290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объема и предоставления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в форме 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социально 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ориентированной некоммерческой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организации ветеранов (пенсионеров) войны, труда, 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Вооруженных сил и 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правоохранительных органов Чебаркульского городс</w:t>
      </w:r>
      <w:r w:rsidR="00786411">
        <w:rPr>
          <w:rFonts w:ascii="Times New Roman" w:eastAsia="Times New Roman" w:hAnsi="Times New Roman"/>
          <w:sz w:val="28"/>
          <w:szCs w:val="28"/>
          <w:lang w:eastAsia="ru-RU"/>
        </w:rPr>
        <w:t>кого округа Челябинской области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13.02.2015 года № 168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Важно, что главной составл</w:t>
      </w:r>
      <w:r w:rsidR="00580819">
        <w:rPr>
          <w:rFonts w:ascii="Times New Roman" w:eastAsia="Times New Roman" w:hAnsi="Times New Roman"/>
          <w:sz w:val="28"/>
          <w:szCs w:val="28"/>
          <w:lang w:eastAsia="ru-RU"/>
        </w:rPr>
        <w:t>яющей в области развития СОНКО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0016C1" w:rsidRPr="005706AC" w:rsidRDefault="000016C1" w:rsidP="005706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Значительная часть некоммерческих организаций считает приоритетными направлениями в своей деятельности вопросы просвещения, формирования и 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</w:t>
      </w:r>
      <w:r w:rsidR="003D3F1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направленности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>баркульском</w:t>
      </w:r>
      <w:proofErr w:type="spellEnd"/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округе.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lastRenderedPageBreak/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В связи с 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>недостаточностью информирования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граждан, например, в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 xml:space="preserve"> средствах массовой информации,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об общественно значимой деятельности СОНКО, в том числе, направленной на развитие благотворительности и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 xml:space="preserve"> добровольчества (</w:t>
      </w:r>
      <w:proofErr w:type="spellStart"/>
      <w:r w:rsidR="00580819">
        <w:rPr>
          <w:rFonts w:ascii="Times New Roman" w:hAnsi="Times New Roman"/>
          <w:color w:val="000000"/>
          <w:sz w:val="28"/>
          <w:lang w:eastAsia="ru-RU" w:bidi="ru-RU"/>
        </w:rPr>
        <w:t>волонтерства</w:t>
      </w:r>
      <w:proofErr w:type="spellEnd"/>
      <w:r w:rsidR="00580819">
        <w:rPr>
          <w:rFonts w:ascii="Times New Roman" w:hAnsi="Times New Roman"/>
          <w:color w:val="000000"/>
          <w:sz w:val="28"/>
          <w:lang w:eastAsia="ru-RU" w:bidi="ru-RU"/>
        </w:rPr>
        <w:t>)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возникает  к</w:t>
      </w:r>
      <w:r w:rsidR="00B64785">
        <w:rPr>
          <w:rFonts w:ascii="Times New Roman" w:hAnsi="Times New Roman"/>
          <w:color w:val="000000"/>
          <w:sz w:val="28"/>
          <w:lang w:eastAsia="ru-RU" w:bidi="ru-RU"/>
        </w:rPr>
        <w:t>райняя необходимость проведения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мероприятий.</w:t>
      </w:r>
    </w:p>
    <w:p w:rsidR="000016C1" w:rsidRDefault="00580819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целом программа обеспечивает реализацию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со</w:t>
      </w:r>
      <w:r>
        <w:rPr>
          <w:rFonts w:ascii="Times New Roman" w:hAnsi="Times New Roman"/>
          <w:color w:val="000000"/>
          <w:sz w:val="28"/>
          <w:lang w:eastAsia="ru-RU" w:bidi="ru-RU"/>
        </w:rPr>
        <w:t>циальной направленности  в виде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повыш</w:t>
      </w:r>
      <w:r>
        <w:rPr>
          <w:rFonts w:ascii="Times New Roman" w:hAnsi="Times New Roman"/>
          <w:color w:val="000000"/>
          <w:sz w:val="28"/>
          <w:lang w:eastAsia="ru-RU" w:bidi="ru-RU"/>
        </w:rPr>
        <w:t>ения поддержки СОНКО, позволяет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улучшить не только материально-техническую базу СОНКО, но и увеличить количество проектов (программ), реализуемых ими, а </w:t>
      </w:r>
      <w:proofErr w:type="spellStart"/>
      <w:r w:rsidR="000016C1">
        <w:rPr>
          <w:rFonts w:ascii="Times New Roman" w:hAnsi="Times New Roman"/>
          <w:color w:val="000000"/>
          <w:sz w:val="28"/>
          <w:lang w:eastAsia="ru-RU" w:bidi="ru-RU"/>
        </w:rPr>
        <w:t>также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выявить</w:t>
      </w:r>
      <w:proofErr w:type="spellEnd"/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поддержать </w:t>
      </w:r>
      <w:r w:rsidR="00755D1A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значимые инициативы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СОНКО на территории Чебаркульского городского округа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>.</w:t>
      </w:r>
    </w:p>
    <w:p w:rsidR="000016C1" w:rsidRDefault="00B64785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Для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достижения поставленной цели и решения задач по оказанию СОНКО, осуществляющих свою деятельность на территории Чебаркульского городского округа, </w:t>
      </w:r>
      <w:proofErr w:type="spellStart"/>
      <w:r w:rsidR="000016C1">
        <w:rPr>
          <w:rFonts w:ascii="Times New Roman" w:hAnsi="Times New Roman"/>
          <w:color w:val="000000"/>
          <w:sz w:val="28"/>
          <w:lang w:eastAsia="ru-RU" w:bidi="ru-RU"/>
        </w:rPr>
        <w:t>используетсяпрограммно</w:t>
      </w:r>
      <w:proofErr w:type="spellEnd"/>
      <w:r w:rsidR="00446A36">
        <w:rPr>
          <w:rFonts w:ascii="Times New Roman" w:hAnsi="Times New Roman"/>
          <w:color w:val="000000"/>
          <w:sz w:val="28"/>
          <w:lang w:eastAsia="ru-RU" w:bidi="ru-RU"/>
        </w:rPr>
        <w:t xml:space="preserve">-целевой метод. Его применение 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>даст возможность привлечения СОНКО в решении вопросов: в сферах деятельности в области прос</w:t>
      </w:r>
      <w:r>
        <w:rPr>
          <w:rFonts w:ascii="Times New Roman" w:hAnsi="Times New Roman"/>
          <w:color w:val="000000"/>
          <w:sz w:val="28"/>
          <w:lang w:eastAsia="ru-RU" w:bidi="ru-RU"/>
        </w:rPr>
        <w:t>вещения, науки,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искусства, профилактики и охраны здоровья граждан, пропаганды здорового образа жизни, улучшения  моральн</w:t>
      </w:r>
      <w:proofErr w:type="gramStart"/>
      <w:r w:rsidR="000016C1">
        <w:rPr>
          <w:rFonts w:ascii="Times New Roman" w:hAnsi="Times New Roman"/>
          <w:color w:val="000000"/>
          <w:sz w:val="28"/>
          <w:lang w:eastAsia="ru-RU" w:bidi="ru-RU"/>
        </w:rPr>
        <w:t>о-</w:t>
      </w:r>
      <w:proofErr w:type="gramEnd"/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психологического состояния граждан, содействия духовному 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</w:p>
    <w:p w:rsidR="00C45A14" w:rsidRDefault="004111DF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Основным условием для стабильного развития СОНКО является возможность доступа к ресурсам для осуществления уставных задач, социально значимых проектов. Общественно полезный характер деятельности СОНКО не позволяет финансировать их работу за счет оплаты услуг </w:t>
      </w: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>конкретными</w:t>
      </w:r>
      <w:proofErr w:type="gramEnd"/>
      <w:r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eastAsia="ru-RU" w:bidi="ru-RU"/>
        </w:rPr>
        <w:t>благополучателями</w:t>
      </w:r>
      <w:proofErr w:type="spellEnd"/>
      <w:r>
        <w:rPr>
          <w:rFonts w:ascii="Times New Roman" w:hAnsi="Times New Roman"/>
          <w:color w:val="000000"/>
          <w:sz w:val="28"/>
          <w:lang w:eastAsia="ru-RU" w:bidi="ru-RU"/>
        </w:rPr>
        <w:t>. Поэтому основным источником финансирования СОНКО является целевое финансирование их деятельности через систему государственной финансовой поддержки.</w:t>
      </w:r>
    </w:p>
    <w:p w:rsidR="000016C1" w:rsidRDefault="0084562A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Концепции  долгосрочного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социально - экономического развития Российской Федерации, утвержденной распоряжением Правительства Российской Федерации от 17 ноября 200</w:t>
      </w:r>
      <w:r>
        <w:rPr>
          <w:rFonts w:ascii="Times New Roman" w:hAnsi="Times New Roman"/>
          <w:color w:val="000000"/>
          <w:sz w:val="28"/>
          <w:lang w:eastAsia="ru-RU" w:bidi="ru-RU"/>
        </w:rPr>
        <w:t>8 года № 1662-р, к приоритетным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направлениям долгосрочной политики социальн</w:t>
      </w:r>
      <w:r>
        <w:rPr>
          <w:rFonts w:ascii="Times New Roman" w:hAnsi="Times New Roman"/>
          <w:color w:val="000000"/>
          <w:sz w:val="28"/>
          <w:lang w:eastAsia="ru-RU" w:bidi="ru-RU"/>
        </w:rPr>
        <w:t>ой поддержки населения отнесено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создание пр</w:t>
      </w:r>
      <w:r>
        <w:rPr>
          <w:rFonts w:ascii="Times New Roman" w:hAnsi="Times New Roman"/>
          <w:color w:val="000000"/>
          <w:sz w:val="28"/>
          <w:lang w:eastAsia="ru-RU" w:bidi="ru-RU"/>
        </w:rPr>
        <w:t>озрачной и конкурентной системы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муниципальной поддержки СОНКО, оказывающих социальные услуги населению, реализация органа</w:t>
      </w:r>
      <w:r>
        <w:rPr>
          <w:rFonts w:ascii="Times New Roman" w:hAnsi="Times New Roman"/>
          <w:color w:val="000000"/>
          <w:sz w:val="28"/>
          <w:lang w:eastAsia="ru-RU" w:bidi="ru-RU"/>
        </w:rPr>
        <w:t>ми местного самоуправления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программ в области поддержки, развития СОНКО.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CE00D6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</w:t>
      </w:r>
      <w:r w:rsidR="00F40F2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</w:p>
    <w:p w:rsidR="00B64785" w:rsidRDefault="00B64785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создание благоприятных условий</w:t>
      </w:r>
      <w:r w:rsidR="00280900">
        <w:rPr>
          <w:rFonts w:ascii="Times New Roman" w:eastAsia="Times New Roman" w:hAnsi="Times New Roman"/>
          <w:sz w:val="28"/>
          <w:szCs w:val="28"/>
          <w:lang w:eastAsia="ru-RU"/>
        </w:rPr>
        <w:t>, способствующих развитию потенциала СОНКО и его эффективному использованию в решении задач социально-экономического развития</w:t>
      </w:r>
      <w:r w:rsidR="00446A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Чебаркульского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я достижения поставленной цели программа предполагает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следующ</w:t>
      </w:r>
      <w:r w:rsidR="00F40F2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задач:</w:t>
      </w:r>
    </w:p>
    <w:p w:rsidR="000016C1" w:rsidRPr="00280900" w:rsidRDefault="00F40F2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2809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80900" w:rsidRPr="00280900">
        <w:rPr>
          <w:rFonts w:ascii="Times New Roman" w:eastAsia="Times New Roman" w:hAnsi="Times New Roman"/>
          <w:sz w:val="28"/>
          <w:szCs w:val="28"/>
          <w:lang w:eastAsia="ru-RU"/>
        </w:rPr>
        <w:t>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округа.</w:t>
      </w:r>
    </w:p>
    <w:p w:rsidR="00280900" w:rsidRDefault="0028090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900" w:rsidRDefault="0028090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F40F20" w:rsidP="00B6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этапы реали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="00ED0BEB">
        <w:rPr>
          <w:rFonts w:ascii="Times New Roman" w:hAnsi="Times New Roman"/>
          <w:sz w:val="28"/>
          <w:szCs w:val="28"/>
        </w:rPr>
        <w:t>2022</w:t>
      </w:r>
      <w:r w:rsidRPr="00C45A14">
        <w:rPr>
          <w:rFonts w:ascii="Times New Roman" w:hAnsi="Times New Roman"/>
          <w:sz w:val="28"/>
          <w:szCs w:val="28"/>
        </w:rPr>
        <w:t>-</w:t>
      </w:r>
      <w:r w:rsidR="00ED0BEB">
        <w:rPr>
          <w:rFonts w:ascii="Times New Roman" w:hAnsi="Times New Roman"/>
          <w:sz w:val="28"/>
          <w:szCs w:val="28"/>
        </w:rPr>
        <w:t>2024</w:t>
      </w:r>
      <w:r w:rsidRPr="00C45A14">
        <w:rPr>
          <w:rFonts w:ascii="Times New Roman" w:hAnsi="Times New Roman"/>
          <w:sz w:val="28"/>
          <w:szCs w:val="28"/>
        </w:rPr>
        <w:t xml:space="preserve"> годы.</w:t>
      </w: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постоянный характер.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280900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Этапы реализации:</w:t>
      </w:r>
    </w:p>
    <w:p w:rsidR="00280900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разработка проекта муниципальной программы осуществляется ответственным исполнителем совместно с соисполнителями;</w:t>
      </w:r>
    </w:p>
    <w:p w:rsidR="004F5D84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F5D8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муниципальной программы должен быть согласован всеми соисполнителями. В случае если проект не согласован соисполнителями, к нему прилагаются замечания соисполнителей;</w:t>
      </w:r>
    </w:p>
    <w:p w:rsidR="004F5D84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до направления проекта на согласование обеспечивается общественное обсуждение проекта муниципальной программы на официальном сайте ответственного исполнителя в сети Интернет в течение 15 календарных дней;</w:t>
      </w:r>
    </w:p>
    <w:p w:rsidR="004F5D84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муниципальная программа утверждается постановлением администрации Чебаркульского городского округа;</w:t>
      </w:r>
    </w:p>
    <w:p w:rsidR="00ED0BEB" w:rsidRDefault="004F5D84" w:rsidP="0095540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утвержденная муниципальная программа размещается </w:t>
      </w:r>
      <w:r w:rsidR="000C724B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Управления социальной защиты населения администрации Чебаркульского городского округа и на сайте администрации Чебаркульского городского округа в течение 10 рабочих дней со дня утверждения нормативного правового акта.</w:t>
      </w:r>
      <w:proofErr w:type="gramEnd"/>
    </w:p>
    <w:p w:rsidR="00D55C7E" w:rsidRDefault="00D55C7E" w:rsidP="00955408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F40F20" w:rsidP="00955408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Система мероприятий и показатели (индика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торы)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</w:p>
    <w:p w:rsidR="000016C1" w:rsidRDefault="000016C1" w:rsidP="00955408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F20" w:rsidRDefault="00F40F20" w:rsidP="00955408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  <w:r w:rsidR="004C5A05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включенные в нее мероприятия представляют в совокупности комплекс взаимосвязанных мер, направленных на решение текущих и перспективных целей и задач в сфере поддержки СОНКО.</w:t>
      </w:r>
    </w:p>
    <w:p w:rsidR="000016C1" w:rsidRDefault="00F40F20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программе предусматривается реализация мероприятий по следующим направлениям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6C1" w:rsidRDefault="00B64785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финансовой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оказание имущественной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1B9A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консультационной поддержки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По направлению «оказание финансовой поддержки СО</w:t>
      </w:r>
      <w:r w:rsidR="00EF1B9A">
        <w:rPr>
          <w:rFonts w:ascii="Times New Roman" w:hAnsi="Times New Roman"/>
          <w:color w:val="000000"/>
          <w:sz w:val="28"/>
          <w:lang w:eastAsia="ru-RU" w:bidi="ru-RU"/>
        </w:rPr>
        <w:t>НКО» планируется предоставление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субсидии за счет средств бюджета Чебаркульского городского округа:</w:t>
      </w:r>
    </w:p>
    <w:p w:rsidR="000016C1" w:rsidRPr="0017318A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highlight w:val="yellow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- </w:t>
      </w:r>
      <w:r w:rsidRPr="00955408">
        <w:rPr>
          <w:rFonts w:ascii="Times New Roman" w:hAnsi="Times New Roman"/>
          <w:color w:val="000000"/>
          <w:sz w:val="28"/>
          <w:lang w:eastAsia="ru-RU" w:bidi="ru-RU"/>
        </w:rPr>
        <w:t>некомм</w:t>
      </w:r>
      <w:r w:rsidR="00EF1B9A" w:rsidRPr="00955408">
        <w:rPr>
          <w:rFonts w:ascii="Times New Roman" w:hAnsi="Times New Roman"/>
          <w:color w:val="000000"/>
          <w:sz w:val="28"/>
          <w:lang w:eastAsia="ru-RU" w:bidi="ru-RU"/>
        </w:rPr>
        <w:t>ерческим организациям инвалидов</w:t>
      </w:r>
      <w:r w:rsidRPr="00955408">
        <w:rPr>
          <w:rFonts w:ascii="Times New Roman" w:hAnsi="Times New Roman"/>
          <w:color w:val="000000"/>
          <w:sz w:val="28"/>
          <w:lang w:eastAsia="ru-RU" w:bidi="ru-RU"/>
        </w:rPr>
        <w:t xml:space="preserve"> на финансовое обеспечение затрат для осуществления деятельности по реабилитации инвалидов;</w:t>
      </w:r>
    </w:p>
    <w:p w:rsidR="000016C1" w:rsidRPr="00246E60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 w:bidi="ru-RU"/>
        </w:rPr>
      </w:pPr>
      <w:r w:rsidRPr="00246E60">
        <w:rPr>
          <w:rFonts w:ascii="Times New Roman" w:hAnsi="Times New Roman"/>
          <w:sz w:val="28"/>
          <w:lang w:eastAsia="ru-RU" w:bidi="ru-RU"/>
        </w:rPr>
        <w:t>- некоммерческим организациям (СМИ);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55408">
        <w:rPr>
          <w:rFonts w:ascii="Times New Roman" w:eastAsia="Times New Roman" w:hAnsi="Times New Roman"/>
          <w:sz w:val="28"/>
          <w:szCs w:val="28"/>
        </w:rPr>
        <w:t>- некоммерческим организациям, осуществляющим поддержку ветеранов (пенсионеров) войны, труда, Вооруженных Сил и правоохрани</w:t>
      </w:r>
      <w:r w:rsidR="00446A36">
        <w:rPr>
          <w:rFonts w:ascii="Times New Roman" w:eastAsia="Times New Roman" w:hAnsi="Times New Roman"/>
          <w:sz w:val="28"/>
          <w:szCs w:val="28"/>
        </w:rPr>
        <w:t>тельных органов, осуществляется на основании</w:t>
      </w:r>
      <w:r w:rsidRPr="00955408">
        <w:rPr>
          <w:rFonts w:ascii="Times New Roman" w:eastAsia="Times New Roman" w:hAnsi="Times New Roman"/>
          <w:sz w:val="28"/>
          <w:szCs w:val="28"/>
        </w:rPr>
        <w:t xml:space="preserve">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</w:t>
      </w:r>
      <w:r w:rsidR="00B42477" w:rsidRPr="00955408">
        <w:rPr>
          <w:rFonts w:ascii="Times New Roman" w:eastAsia="Times New Roman" w:hAnsi="Times New Roman"/>
          <w:sz w:val="28"/>
          <w:szCs w:val="28"/>
        </w:rPr>
        <w:t>го городского округа.</w:t>
      </w:r>
    </w:p>
    <w:p w:rsidR="00EF2DD0" w:rsidRDefault="00EF2DD0" w:rsidP="00EF2DD0">
      <w:pPr>
        <w:spacing w:after="0" w:line="240" w:lineRule="auto"/>
        <w:ind w:firstLine="397"/>
        <w:contextualSpacing/>
        <w:jc w:val="both"/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В настоящее время п</w:t>
      </w:r>
      <w:r w:rsidR="004C5A05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о н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аправлени</w:t>
      </w:r>
      <w:r w:rsidR="004C5A05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ю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«оказание имущественной поддержки СОНКО» в округе</w:t>
      </w:r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поддержка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осуществля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е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тся путем передачи во владение и (или) пользование некоммерческим организациям муниципальн</w:t>
      </w:r>
      <w:r w:rsidR="00EF1B9A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ого имущества. Предоставляемое 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СОНКО имущество в рамках имущественной поддержки должно использоваться ими только по целевому назначению. </w:t>
      </w:r>
    </w:p>
    <w:p w:rsidR="00EF2DD0" w:rsidRDefault="00EF2DD0" w:rsidP="00EF2DD0">
      <w:pPr>
        <w:spacing w:after="0" w:line="240" w:lineRule="auto"/>
        <w:ind w:firstLine="397"/>
        <w:contextualSpacing/>
        <w:jc w:val="both"/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В 2021 году на территории ЧГО действует 5 договоров безвозмездного пользования с социально ориентированными некоммерческими организациями: </w:t>
      </w:r>
    </w:p>
    <w:p w:rsidR="00EF2DD0" w:rsidRPr="00EF2DD0" w:rsidRDefault="000016C1" w:rsidP="00EF2DD0">
      <w:pPr>
        <w:pStyle w:val="a7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спортивный клуб «Лидер» </w:t>
      </w:r>
      <w:r w:rsidR="00E2686C"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 Октябрьская</w:t>
      </w:r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д.1</w:t>
      </w:r>
      <w:r w:rsidR="00955408"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номера помещений с 1 по 6, </w:t>
      </w:r>
    </w:p>
    <w:p w:rsidR="00EF2DD0" w:rsidRPr="00EF2DD0" w:rsidRDefault="00EF2DD0" w:rsidP="00EF2DD0">
      <w:pPr>
        <w:pStyle w:val="a7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спортивный клуб «Лидер» ул. Октябрьская д.1 номера помещений </w:t>
      </w:r>
      <w:r w:rsidR="00955408"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14, 15 и с 17 по 21 по поэтажному плану;</w:t>
      </w:r>
    </w:p>
    <w:p w:rsidR="00EF2DD0" w:rsidRPr="00EF2DD0" w:rsidRDefault="000016C1" w:rsidP="00EF2DD0">
      <w:pPr>
        <w:pStyle w:val="a7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организация инвалидов Всероссийского ордена К</w:t>
      </w:r>
      <w:r w:rsidR="00374A03"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расного Знамени общества слепых</w:t>
      </w:r>
      <w:r w:rsid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ул.9 Мая д.24</w:t>
      </w:r>
      <w:proofErr w:type="gramStart"/>
      <w:r w:rsid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А</w:t>
      </w:r>
      <w:proofErr w:type="gramEnd"/>
      <w:r w:rsid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;</w:t>
      </w:r>
    </w:p>
    <w:p w:rsidR="00EF2DD0" w:rsidRPr="00EF2DD0" w:rsidRDefault="000016C1" w:rsidP="00EF2DD0">
      <w:pPr>
        <w:pStyle w:val="a7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Хуторское казачье общество «Хутор Русь» ул</w:t>
      </w:r>
      <w:proofErr w:type="gramStart"/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.К</w:t>
      </w:r>
      <w:proofErr w:type="gramEnd"/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рылова д.20-Б номера помещений с 21 по 25 по поэтажному плану</w:t>
      </w:r>
      <w:r w:rsid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;</w:t>
      </w:r>
    </w:p>
    <w:p w:rsidR="00EF2DD0" w:rsidRPr="00EF2DD0" w:rsidRDefault="00EF2DD0" w:rsidP="00EF2DD0">
      <w:pPr>
        <w:pStyle w:val="a7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Фонд местного сообщества «Город будущего» ул. Крылова 8-А, номер помещения 2 по поэтажному плану</w:t>
      </w:r>
    </w:p>
    <w:p w:rsidR="00EF2DD0" w:rsidRPr="00EF2DD0" w:rsidRDefault="000016C1" w:rsidP="00EF2DD0">
      <w:pPr>
        <w:pStyle w:val="a7"/>
        <w:spacing w:after="0" w:line="240" w:lineRule="auto"/>
        <w:ind w:left="0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</w:t>
      </w:r>
    </w:p>
    <w:p w:rsidR="0081081B" w:rsidRPr="00EF2DD0" w:rsidRDefault="000016C1" w:rsidP="00EF2DD0">
      <w:pPr>
        <w:pStyle w:val="a7"/>
        <w:spacing w:after="0" w:line="240" w:lineRule="auto"/>
        <w:ind w:left="0"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Перечень данного имущества подлежит обязательному опубликованию в средствах массовой информации, а также размещению на официальном </w:t>
      </w:r>
      <w:r w:rsidR="009E019F"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сайте Чебаркульского городского</w:t>
      </w:r>
      <w:r w:rsidR="00FB1959" w:rsidRPr="00EF2DD0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округа в сети Интернет.</w:t>
      </w:r>
    </w:p>
    <w:p w:rsidR="000016C1" w:rsidRPr="008F6C6B" w:rsidRDefault="000016C1" w:rsidP="00EF2DD0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Порядок передачи муниципального имущества в безвозмезд</w:t>
      </w:r>
      <w:r w:rsidR="009E019F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ное пользование устанавливается</w:t>
      </w:r>
      <w:r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Решением Собрания депутатов Чебаркульского городского округа</w:t>
      </w:r>
      <w:r w:rsidR="00AF66F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75844" w:rsidRPr="00E2686C">
        <w:rPr>
          <w:rFonts w:ascii="Times New Roman" w:eastAsia="Lucida Sans Unicode" w:hAnsi="Times New Roman"/>
          <w:spacing w:val="1"/>
          <w:sz w:val="28"/>
          <w:szCs w:val="28"/>
          <w:lang w:eastAsia="ru-RU" w:bidi="ru-RU"/>
        </w:rPr>
        <w:t xml:space="preserve">от 05.10.2010 года № 91 </w:t>
      </w:r>
      <w:r w:rsidR="00475844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«Положение о передаче муниципального имущества в безвозмездное пользование</w:t>
      </w:r>
      <w:r w:rsidR="007A58B6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»</w:t>
      </w:r>
      <w:r w:rsidR="00475844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0016C1" w:rsidRDefault="00434395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н</w:t>
      </w:r>
      <w:r w:rsidR="000016C1">
        <w:rPr>
          <w:rFonts w:ascii="Times New Roman" w:eastAsia="Times New Roman" w:hAnsi="Times New Roman"/>
          <w:sz w:val="28"/>
          <w:szCs w:val="28"/>
        </w:rPr>
        <w:t>аправлени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0016C1">
        <w:rPr>
          <w:rFonts w:ascii="Times New Roman" w:eastAsia="Times New Roman" w:hAnsi="Times New Roman"/>
          <w:sz w:val="28"/>
          <w:szCs w:val="28"/>
        </w:rPr>
        <w:t>казание информационно</w:t>
      </w:r>
      <w:r w:rsidR="009E019F">
        <w:rPr>
          <w:rFonts w:ascii="Times New Roman" w:eastAsia="Times New Roman" w:hAnsi="Times New Roman"/>
          <w:sz w:val="28"/>
          <w:szCs w:val="28"/>
        </w:rPr>
        <w:t>й поддержки СОНКО» оказывается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путем </w:t>
      </w:r>
      <w:r>
        <w:rPr>
          <w:rFonts w:ascii="Times New Roman" w:eastAsia="Times New Roman" w:hAnsi="Times New Roman"/>
          <w:sz w:val="28"/>
          <w:szCs w:val="28"/>
        </w:rPr>
        <w:t xml:space="preserve">повышения информированности граждан о поддержке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деятельности СОНКО, а также повышение активности населения в решении актуальных социальных проблем</w:t>
      </w:r>
      <w:r w:rsidR="00E2686C">
        <w:rPr>
          <w:rFonts w:ascii="Times New Roman" w:eastAsia="Times New Roman" w:hAnsi="Times New Roman"/>
          <w:sz w:val="28"/>
          <w:szCs w:val="28"/>
        </w:rPr>
        <w:t>.</w:t>
      </w:r>
    </w:p>
    <w:p w:rsidR="000016C1" w:rsidRDefault="00F85B5A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направлению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«</w:t>
      </w:r>
      <w:r w:rsidR="00434395">
        <w:rPr>
          <w:rFonts w:ascii="Times New Roman" w:eastAsia="Times New Roman" w:hAnsi="Times New Roman"/>
          <w:sz w:val="28"/>
          <w:szCs w:val="28"/>
        </w:rPr>
        <w:t>о</w:t>
      </w:r>
      <w:r w:rsidR="000016C1">
        <w:rPr>
          <w:rFonts w:ascii="Times New Roman" w:eastAsia="Times New Roman" w:hAnsi="Times New Roman"/>
          <w:sz w:val="28"/>
          <w:szCs w:val="28"/>
        </w:rPr>
        <w:t>казание кон</w:t>
      </w:r>
      <w:r w:rsidR="0017318A">
        <w:rPr>
          <w:rFonts w:ascii="Times New Roman" w:eastAsia="Times New Roman" w:hAnsi="Times New Roman"/>
          <w:sz w:val="28"/>
          <w:szCs w:val="28"/>
        </w:rPr>
        <w:t xml:space="preserve">сультационной поддержки СОНКО» планируется </w:t>
      </w:r>
      <w:r>
        <w:rPr>
          <w:rFonts w:ascii="Times New Roman" w:eastAsia="Times New Roman" w:hAnsi="Times New Roman"/>
          <w:sz w:val="28"/>
          <w:szCs w:val="28"/>
        </w:rPr>
        <w:t>повысить уровень профессиональной и социальной компетентности руководителей, членов СОНКО и добровольцев (волонтеров), уч</w:t>
      </w:r>
      <w:r w:rsidR="00BF1F8C">
        <w:rPr>
          <w:rFonts w:ascii="Times New Roman" w:eastAsia="Times New Roman" w:hAnsi="Times New Roman"/>
          <w:sz w:val="28"/>
          <w:szCs w:val="28"/>
        </w:rPr>
        <w:t xml:space="preserve">аствующих в деятельности СОНКО. </w:t>
      </w:r>
      <w:r>
        <w:rPr>
          <w:rFonts w:ascii="Times New Roman" w:eastAsia="Times New Roman" w:hAnsi="Times New Roman"/>
          <w:sz w:val="28"/>
          <w:szCs w:val="28"/>
        </w:rPr>
        <w:t>В комплекс мероприятий входят проведение семинаров, конференций,</w:t>
      </w:r>
      <w:r w:rsidR="00BF1F8C">
        <w:rPr>
          <w:rFonts w:ascii="Times New Roman" w:eastAsia="Times New Roman" w:hAnsi="Times New Roman"/>
          <w:sz w:val="28"/>
          <w:szCs w:val="28"/>
        </w:rPr>
        <w:t xml:space="preserve"> круглых столов и иных мероприятий по вопросам деятельности СОНКО, обмену опытом и распространению лучших практик реализации мер по обеспечению доступа СОНКО к предоставлению услуг в социальной сфере</w:t>
      </w:r>
      <w:r w:rsidR="000016C1">
        <w:rPr>
          <w:rFonts w:ascii="Times New Roman" w:eastAsia="Times New Roman" w:hAnsi="Times New Roman"/>
          <w:sz w:val="28"/>
          <w:szCs w:val="28"/>
        </w:rPr>
        <w:t>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СОНКО, 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которым оказана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финансов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ая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поддержк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 рассчитывается на основании данных комиссии, проводившей конкурсный отбор СОНКО для предоставления субсидий (на основании количества заключенных соглашений).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</w:t>
      </w:r>
      <w:r w:rsidR="004C2528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Количество действующих договоров безвозмездного пользования, заключенных с СОНКО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» рассчитывается на основании перечня муниципального имущества, предоставленного во владение и (или) в пользование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на долгосрочной основе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</w:t>
      </w:r>
      <w:r w:rsidR="00D40169" w:rsidRPr="00D40169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информационных материалов, освещающих деятельность СОНКО, размещенных в информационно-тел</w:t>
      </w:r>
      <w:r w:rsidR="00D40169">
        <w:rPr>
          <w:rFonts w:ascii="Times New Roman" w:eastAsia="Times New Roman" w:hAnsi="Times New Roman"/>
          <w:bCs/>
          <w:sz w:val="28"/>
          <w:szCs w:val="28"/>
          <w:lang w:eastAsia="ru-RU"/>
        </w:rPr>
        <w:t>екоммуникационной сети интернет</w:t>
      </w:r>
      <w:r w:rsidRP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рассчитывается на основании количества </w:t>
      </w:r>
      <w:proofErr w:type="spellStart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размещенных</w:t>
      </w:r>
      <w:r w:rsidR="000907F7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материалов</w:t>
      </w:r>
      <w:proofErr w:type="spellEnd"/>
      <w:r w:rsidR="000907F7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о СОНКО 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ответственным исполнителем и соисполнителями программы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на </w:t>
      </w:r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официальном сайте </w:t>
      </w:r>
      <w:proofErr w:type="spellStart"/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администрации</w:t>
      </w:r>
      <w:r w:rsidR="009E019F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="009E019F">
        <w:rPr>
          <w:rFonts w:ascii="Times New Roman" w:eastAsia="Times New Roman" w:hAnsi="Times New Roman"/>
          <w:sz w:val="28"/>
          <w:szCs w:val="28"/>
        </w:rPr>
        <w:t xml:space="preserve"> (или)</w:t>
      </w:r>
      <w:r w:rsidR="008207A9">
        <w:rPr>
          <w:rFonts w:ascii="Times New Roman" w:eastAsia="Times New Roman" w:hAnsi="Times New Roman"/>
          <w:sz w:val="28"/>
          <w:szCs w:val="28"/>
        </w:rPr>
        <w:t xml:space="preserve"> отраслевых органов администрации Чебаркульского городского округа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.</w:t>
      </w:r>
    </w:p>
    <w:p w:rsidR="00ED0BEB" w:rsidRDefault="000016C1" w:rsidP="00074B3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</w:t>
      </w:r>
      <w:r w:rsidR="00DC4CB2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СОНКО, </w:t>
      </w:r>
      <w:proofErr w:type="gramStart"/>
      <w:r w:rsidR="00DC4CB2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которые</w:t>
      </w:r>
      <w:proofErr w:type="gramEnd"/>
      <w:r w:rsidR="00DC4CB2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приняли участие в информационно – методических мероприятиях в течение отчетного периода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 рассчит</w:t>
      </w:r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ывается на основании </w:t>
      </w:r>
      <w:proofErr w:type="spellStart"/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количества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мероприятий</w:t>
      </w:r>
      <w:proofErr w:type="spellEnd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, предоставленных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для СОНКО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.</w:t>
      </w:r>
      <w:r w:rsidR="00ED0BEB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2409"/>
        <w:gridCol w:w="1423"/>
        <w:gridCol w:w="2263"/>
      </w:tblGrid>
      <w:tr w:rsidR="000016C1" w:rsidTr="00ED0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lastRenderedPageBreak/>
              <w:br w:type="page"/>
              <w:t xml:space="preserve">№ </w:t>
            </w:r>
            <w:proofErr w:type="gramStart"/>
            <w:r w:rsidRPr="00A30AA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A30AA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0016C1" w:rsidTr="00ED0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16C1" w:rsidTr="00ED0BE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3D3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="00CC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C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="00CC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на территории Чебаркульского   городского округа</w:t>
            </w:r>
          </w:p>
        </w:tc>
      </w:tr>
      <w:tr w:rsidR="00CC0A61" w:rsidTr="00ED0BEB">
        <w:trPr>
          <w:trHeight w:val="1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финансовой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1" w:rsidRDefault="00CC0A61" w:rsidP="0079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 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 оказана финансовая поддержка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ED0BEB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CC0A61"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FB19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Администрация ЧГО </w:t>
            </w:r>
          </w:p>
        </w:tc>
      </w:tr>
      <w:tr w:rsidR="00CC0A61" w:rsidTr="00ED0BEB">
        <w:trPr>
          <w:trHeight w:val="16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7959CC" w:rsidRDefault="000604AC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ED0BEB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CC0A61"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FF5F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ЧГО.</w:t>
            </w:r>
          </w:p>
        </w:tc>
      </w:tr>
      <w:tr w:rsidR="00CC0A61" w:rsidRPr="009E019F" w:rsidTr="00ED0BEB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61" w:rsidRDefault="00CC0A61" w:rsidP="008D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 w:rsidP="008D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информационной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F417C2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ED0BEB" w:rsidP="002F6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CC0A61"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FB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</w:p>
        </w:tc>
      </w:tr>
      <w:tr w:rsidR="00FB1959" w:rsidTr="00ED0BEB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59" w:rsidRDefault="00FB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59" w:rsidRDefault="00FB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59" w:rsidRDefault="00FB1959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59" w:rsidRPr="007959CC" w:rsidRDefault="00FB1959" w:rsidP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СОНКО, </w:t>
            </w:r>
            <w:proofErr w:type="gramStart"/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которые</w:t>
            </w:r>
            <w:proofErr w:type="gramEnd"/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59" w:rsidRPr="002F64E4" w:rsidRDefault="00FB1959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59" w:rsidRPr="009E019F" w:rsidRDefault="00FB1959" w:rsidP="000A13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Администрация ЧГО </w:t>
            </w:r>
          </w:p>
        </w:tc>
      </w:tr>
    </w:tbl>
    <w:p w:rsidR="000016C1" w:rsidRDefault="000016C1" w:rsidP="00ED0BE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Pr="00163853" w:rsidRDefault="00163853" w:rsidP="00ED0BE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853">
        <w:rPr>
          <w:rFonts w:ascii="Times New Roman" w:hAnsi="Times New Roman"/>
          <w:sz w:val="28"/>
          <w:szCs w:val="28"/>
          <w:shd w:val="clear" w:color="auto" w:fill="FFFFFF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</w:t>
      </w:r>
      <w:r w:rsidR="000016C1" w:rsidRPr="001638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6C1" w:rsidRDefault="000016C1" w:rsidP="00ED0BE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прекращение деятельности  СОНКО после получения субсидий на реализацию социально значимых проектов н</w:t>
      </w:r>
      <w:r w:rsidR="00FB1959">
        <w:rPr>
          <w:rFonts w:ascii="Times New Roman" w:eastAsia="Times New Roman" w:hAnsi="Times New Roman"/>
          <w:sz w:val="28"/>
          <w:szCs w:val="28"/>
          <w:lang w:eastAsia="ru-RU"/>
        </w:rPr>
        <w:t>а территории городского округа;</w:t>
      </w:r>
    </w:p>
    <w:p w:rsidR="000016C1" w:rsidRDefault="000016C1" w:rsidP="00ED0BE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-невыполнение, выполнение не в полном объ</w:t>
      </w:r>
      <w:r w:rsidR="00FB1959">
        <w:rPr>
          <w:rFonts w:ascii="Times New Roman" w:eastAsia="Times New Roman" w:hAnsi="Times New Roman"/>
          <w:sz w:val="28"/>
          <w:szCs w:val="28"/>
          <w:lang w:eastAsia="ru-RU"/>
        </w:rPr>
        <w:t xml:space="preserve">еме мероприятий, заявленных </w:t>
      </w:r>
      <w:r w:rsidR="00CC0A61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НКО на</w:t>
      </w:r>
      <w:r w:rsidR="00E2686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конкурс, согласно </w:t>
      </w:r>
      <w:r w:rsidR="00FB1959">
        <w:rPr>
          <w:rFonts w:ascii="Times New Roman" w:eastAsia="Times New Roman" w:hAnsi="Times New Roman"/>
          <w:sz w:val="28"/>
          <w:szCs w:val="28"/>
          <w:lang w:eastAsia="ru-RU"/>
        </w:rPr>
        <w:t>программам;</w:t>
      </w:r>
    </w:p>
    <w:p w:rsidR="000016C1" w:rsidRDefault="000016C1" w:rsidP="00ED0BE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внесение изменений в нормативные право</w:t>
      </w:r>
      <w:r w:rsidR="00C30BFC">
        <w:rPr>
          <w:rFonts w:ascii="Times New Roman" w:hAnsi="Times New Roman"/>
          <w:sz w:val="28"/>
          <w:szCs w:val="28"/>
          <w:lang w:eastAsia="ru-RU"/>
        </w:rPr>
        <w:t>вые акты, регулирующие вопросы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C30BFC">
        <w:rPr>
          <w:rFonts w:ascii="Times New Roman" w:hAnsi="Times New Roman"/>
          <w:sz w:val="28"/>
          <w:szCs w:val="28"/>
          <w:lang w:eastAsia="ru-RU"/>
        </w:rPr>
        <w:t>азличных направлений 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поддержки населения на территории Чебаркульского городского округа;</w:t>
      </w:r>
    </w:p>
    <w:p w:rsidR="000016C1" w:rsidRDefault="00C30BFC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связи с</w:t>
      </w:r>
      <w:r w:rsidR="000016C1">
        <w:rPr>
          <w:rFonts w:ascii="Times New Roman" w:hAnsi="Times New Roman"/>
          <w:sz w:val="28"/>
          <w:szCs w:val="28"/>
          <w:lang w:eastAsia="ru-RU"/>
        </w:rPr>
        <w:t xml:space="preserve"> уменьшением финансирования.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программы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567"/>
        <w:gridCol w:w="1843"/>
        <w:gridCol w:w="1559"/>
        <w:gridCol w:w="2551"/>
      </w:tblGrid>
      <w:tr w:rsidR="00353891" w:rsidTr="00ED0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змер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 w:rsidP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Алгоритм формирования (формула) расчета значения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 w:rsidP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Базовые показатели для расчета значения показателя (индикатора)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и сроки сбора информации для расчета значения показателя (индикатора)</w:t>
            </w:r>
          </w:p>
        </w:tc>
      </w:tr>
      <w:tr w:rsidR="00353891" w:rsidTr="00ED0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353891" w:rsidP="0082432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824327">
              <w:rPr>
                <w:rFonts w:ascii="Times New Roman" w:eastAsia="Times New Roman" w:hAnsi="Times New Roman"/>
                <w:lang w:eastAsia="ru-RU"/>
              </w:rPr>
              <w:t>Количество</w:t>
            </w:r>
            <w:r w:rsidR="00824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СОНКО</w:t>
            </w:r>
            <w:proofErr w:type="spellEnd"/>
            <w:r w:rsidR="00824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="00824327"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</w:t>
            </w:r>
            <w:proofErr w:type="gramEnd"/>
            <w:r w:rsidR="00824327"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оказана финансовая поддержка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  <w:tr w:rsidR="00353891" w:rsidTr="00ED0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0604A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  <w:tr w:rsidR="00353891" w:rsidTr="00ED0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824327" w:rsidP="00BE7FB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Количество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504A4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 (ежеквартально)</w:t>
            </w:r>
          </w:p>
        </w:tc>
      </w:tr>
      <w:tr w:rsidR="00353891" w:rsidTr="00ED0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8C3051" w:rsidP="00CC0A6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СОНКО, </w:t>
            </w:r>
            <w:proofErr w:type="gramStart"/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которые</w:t>
            </w:r>
            <w:proofErr w:type="gramEnd"/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81078D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 xml:space="preserve">Журнал учета 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</w:tbl>
    <w:p w:rsidR="00D55C7E" w:rsidRDefault="00D55C7E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2A02B3">
          <w:headerReference w:type="default" r:id="rId9"/>
          <w:pgSz w:w="11906" w:h="16838"/>
          <w:pgMar w:top="709" w:right="566" w:bottom="1134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</w:t>
      </w:r>
      <w:r w:rsidR="001E506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Ресурсное обеспе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чение  муниципальной программы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бюджета Чебаркульского городского округа на </w:t>
      </w:r>
      <w:r w:rsidR="00ED0BE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F14E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ED0BE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D0BE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финанс</w:t>
      </w:r>
      <w:r w:rsidR="00FB1959">
        <w:rPr>
          <w:rFonts w:ascii="Times New Roman" w:eastAsia="Times New Roman" w:hAnsi="Times New Roman"/>
          <w:sz w:val="28"/>
          <w:szCs w:val="28"/>
          <w:lang w:eastAsia="ru-RU"/>
        </w:rPr>
        <w:t>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составляет:</w:t>
      </w:r>
    </w:p>
    <w:p w:rsidR="000016C1" w:rsidRPr="00793C0F" w:rsidRDefault="00ED0BEB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074B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016C1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A34DC8">
        <w:rPr>
          <w:rFonts w:ascii="Times New Roman" w:eastAsia="Times New Roman" w:hAnsi="Times New Roman"/>
          <w:bCs/>
          <w:sz w:val="28"/>
          <w:szCs w:val="28"/>
          <w:lang w:eastAsia="ru-RU"/>
        </w:rPr>
        <w:t>1 12</w:t>
      </w:r>
      <w:r w:rsidR="00074B32" w:rsidRPr="00074B32">
        <w:rPr>
          <w:rFonts w:ascii="Times New Roman" w:eastAsia="Times New Roman" w:hAnsi="Times New Roman"/>
          <w:bCs/>
          <w:sz w:val="28"/>
          <w:szCs w:val="28"/>
          <w:lang w:eastAsia="ru-RU"/>
        </w:rPr>
        <w:t>5 000</w:t>
      </w:r>
      <w:r w:rsidR="000016C1"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0016C1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:rsidR="000016C1" w:rsidRPr="00793C0F" w:rsidRDefault="00ED0BEB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 w:rsidR="000016C1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A34DC8">
        <w:rPr>
          <w:rFonts w:ascii="Times New Roman" w:eastAsia="Times New Roman" w:hAnsi="Times New Roman"/>
          <w:bCs/>
          <w:sz w:val="28"/>
          <w:szCs w:val="28"/>
          <w:lang w:eastAsia="ru-RU"/>
        </w:rPr>
        <w:t>1 12</w:t>
      </w:r>
      <w:r w:rsidR="00074B32" w:rsidRPr="00074B32">
        <w:rPr>
          <w:rFonts w:ascii="Times New Roman" w:eastAsia="Times New Roman" w:hAnsi="Times New Roman"/>
          <w:bCs/>
          <w:sz w:val="28"/>
          <w:szCs w:val="28"/>
          <w:lang w:eastAsia="ru-RU"/>
        </w:rPr>
        <w:t>5 000</w:t>
      </w:r>
      <w:r w:rsidR="00074B32"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0016C1" w:rsidRPr="00793C0F" w:rsidRDefault="00ED0BEB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 w:rsidR="000016C1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A34DC8">
        <w:rPr>
          <w:rFonts w:ascii="Times New Roman" w:eastAsia="Times New Roman" w:hAnsi="Times New Roman"/>
          <w:bCs/>
          <w:sz w:val="28"/>
          <w:szCs w:val="28"/>
          <w:lang w:eastAsia="ru-RU"/>
        </w:rPr>
        <w:t>1 12</w:t>
      </w:r>
      <w:r w:rsidR="00074B32" w:rsidRPr="00074B32">
        <w:rPr>
          <w:rFonts w:ascii="Times New Roman" w:eastAsia="Times New Roman" w:hAnsi="Times New Roman"/>
          <w:bCs/>
          <w:sz w:val="28"/>
          <w:szCs w:val="28"/>
          <w:lang w:eastAsia="ru-RU"/>
        </w:rPr>
        <w:t>5 000</w:t>
      </w:r>
      <w:r w:rsidR="00074B32"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0016C1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="000016C1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16C1" w:rsidRPr="00FD1E0D" w:rsidRDefault="00F14E53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финансирования</w:t>
      </w:r>
      <w:r w:rsidR="000016C1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="00A34DC8">
        <w:rPr>
          <w:rFonts w:ascii="Times New Roman" w:eastAsia="Times New Roman" w:hAnsi="Times New Roman"/>
          <w:bCs/>
          <w:sz w:val="28"/>
          <w:szCs w:val="28"/>
          <w:lang w:eastAsia="ru-RU"/>
        </w:rPr>
        <w:t>375</w:t>
      </w:r>
      <w:r w:rsidR="00895874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="00CC625E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,00</w:t>
      </w:r>
      <w:r w:rsidR="000016C1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 из средств местного бюджета.</w:t>
      </w:r>
    </w:p>
    <w:p w:rsidR="000016C1" w:rsidRPr="00FD1E0D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Бюджетные ассигнования и иные средства, направленные на выполнение мероприятий 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tbl>
      <w:tblPr>
        <w:tblStyle w:val="10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5"/>
        <w:gridCol w:w="1701"/>
        <w:gridCol w:w="2126"/>
        <w:gridCol w:w="1985"/>
        <w:gridCol w:w="1985"/>
        <w:gridCol w:w="1984"/>
      </w:tblGrid>
      <w:tr w:rsidR="00B117A6" w:rsidRPr="00074B32" w:rsidTr="00074B32">
        <w:trPr>
          <w:trHeight w:val="9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C1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r w:rsidR="000016C1"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BF1" w:rsidRPr="00074B32" w:rsidTr="00074B32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ED0BE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ED0BE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ED0BE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931BF1" w:rsidRPr="00074B32" w:rsidTr="00ED0B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1BF1" w:rsidRPr="00074B32" w:rsidTr="00ED0BEB">
        <w:trPr>
          <w:trHeight w:val="1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1E5065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</w:t>
            </w:r>
            <w:r w:rsidR="00074B32"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940E60"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</w:t>
            </w:r>
            <w:r w:rsidR="00074B32"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1 12</w:t>
            </w:r>
            <w:r w:rsidR="00074B32"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</w:t>
            </w:r>
          </w:p>
        </w:tc>
      </w:tr>
      <w:tr w:rsidR="00C6763B" w:rsidRPr="00074B32" w:rsidTr="00ED0BEB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RPr="00074B32" w:rsidTr="00ED0BEB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074B32" w:rsidRDefault="000016C1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74B32" w:rsidRDefault="000016C1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4B32" w:rsidRPr="00074B32" w:rsidTr="00ED0BEB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</w:tr>
      <w:tr w:rsidR="00C6763B" w:rsidRPr="00074B32" w:rsidTr="00ED0BEB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074B32" w:rsidRDefault="00C6763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074B32" w:rsidRDefault="00C6763B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4B32" w:rsidRPr="00074B32" w:rsidTr="00ED0BEB">
        <w:trPr>
          <w:trHeight w:val="3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финансовой поддержки СОНКО: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</w:tr>
      <w:tr w:rsidR="00940E60" w:rsidRPr="00074B32" w:rsidTr="00ED0BEB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RPr="00074B32" w:rsidTr="00ED0BEB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4B32" w:rsidRPr="00074B32" w:rsidTr="00ED0BEB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32" w:rsidRPr="00074B32" w:rsidRDefault="00074B32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2" w:rsidRPr="00074B32" w:rsidRDefault="00074B32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1 135 000</w:t>
            </w:r>
          </w:p>
        </w:tc>
      </w:tr>
      <w:tr w:rsidR="00940E60" w:rsidRPr="00074B32" w:rsidTr="00ED0BEB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D0BEB" w:rsidRPr="00074B32" w:rsidTr="00074B32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EB" w:rsidRPr="00074B32" w:rsidRDefault="00ED0BE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EB" w:rsidRPr="00074B32" w:rsidRDefault="00ED0BEB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зрению на финансовое обеспечение затрат </w:t>
            </w: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осуществления деятельности по реабилитации инвалидов по зрению</w:t>
            </w:r>
            <w:proofErr w:type="gramEnd"/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(конкурсный отбор);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BEB" w:rsidRPr="00074B32" w:rsidRDefault="00ED0BE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EB" w:rsidRPr="00074B32" w:rsidRDefault="00ED0BE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BEB" w:rsidRPr="00074B32" w:rsidRDefault="00ED0BEB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EB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D0BEB"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EB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D0BEB"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EB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D0BEB"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940E60" w:rsidRPr="00074B32" w:rsidTr="00074B32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RPr="00074B32" w:rsidTr="00074B32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074B32" w:rsidRDefault="00940E60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60" w:rsidRPr="00074B32" w:rsidRDefault="00940E60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BA4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BA4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BA4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A34DC8" w:rsidRPr="00074B32" w:rsidTr="00074B32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 СОНКО (СМИ) </w:t>
            </w:r>
          </w:p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A34DC8" w:rsidRPr="00074B32" w:rsidTr="00074B32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A34DC8" w:rsidRPr="00074B32" w:rsidTr="00074B32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785 000</w:t>
            </w:r>
          </w:p>
        </w:tc>
      </w:tr>
      <w:tr w:rsidR="00A34DC8" w:rsidRPr="00074B32" w:rsidTr="00074B32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074B32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785 000</w:t>
            </w:r>
          </w:p>
        </w:tc>
      </w:tr>
      <w:tr w:rsidR="00A34DC8" w:rsidRPr="00074B32" w:rsidTr="00074B32">
        <w:trPr>
          <w:trHeight w:val="18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4DC8" w:rsidRPr="00074B32" w:rsidTr="00ED0BEB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СОНКО.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1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4445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3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консультационной поддержки                   СОНКО.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4DC8" w:rsidRPr="00074B32" w:rsidTr="00ED0BEB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8" w:rsidRPr="00074B32" w:rsidRDefault="00A34DC8" w:rsidP="00074B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C8" w:rsidRPr="00074B32" w:rsidRDefault="00A34DC8" w:rsidP="00074B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9E5932" w:rsidRDefault="009E5932" w:rsidP="009E5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E5932" w:rsidSect="0036466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74B32" w:rsidRDefault="00074B32" w:rsidP="00074B3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Финансирование муниципальной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074B32" w:rsidRDefault="00074B32" w:rsidP="00ED0BE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ED0BEB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E506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низация управления и механизм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>зации  муниципальной программы</w:t>
      </w:r>
    </w:p>
    <w:p w:rsidR="001E5065" w:rsidRDefault="001E5065" w:rsidP="00ED0BE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D91816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ответственным исполнителем – </w:t>
      </w:r>
      <w:r w:rsidR="00D91816">
        <w:rPr>
          <w:rFonts w:ascii="Times New Roman" w:hAnsi="Times New Roman"/>
          <w:sz w:val="28"/>
          <w:szCs w:val="28"/>
        </w:rPr>
        <w:t>Управлением социальной защиты населения администрации Чебаркульского городского округа</w:t>
      </w:r>
      <w:r>
        <w:rPr>
          <w:rFonts w:ascii="Times New Roman" w:hAnsi="Times New Roman"/>
          <w:sz w:val="28"/>
          <w:szCs w:val="28"/>
        </w:rPr>
        <w:t>, который выполняет следующие функции: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и мониторинг реализации мероприятий программы;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представляет запрашиваемые сведения о ходе реализации программы;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A2BBA">
        <w:rPr>
          <w:rFonts w:ascii="Times New Roman" w:hAnsi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0016C1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A2BBA">
        <w:rPr>
          <w:rFonts w:ascii="Times New Roman" w:hAnsi="Times New Roman"/>
          <w:sz w:val="28"/>
          <w:szCs w:val="28"/>
        </w:rPr>
        <w:t>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0907F7" w:rsidRDefault="000907F7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финансовое управление администрации ЧГО и в комитет по стратегическому развитию администрации;</w:t>
      </w:r>
    </w:p>
    <w:p w:rsidR="000016C1" w:rsidRDefault="000907F7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16C1">
        <w:rPr>
          <w:rFonts w:ascii="Times New Roman" w:hAnsi="Times New Roman"/>
          <w:sz w:val="28"/>
          <w:szCs w:val="28"/>
        </w:rPr>
        <w:t xml:space="preserve">) </w:t>
      </w:r>
      <w:r w:rsidR="00EA2BBA">
        <w:rPr>
          <w:rFonts w:ascii="Times New Roman" w:hAnsi="Times New Roman"/>
          <w:sz w:val="28"/>
          <w:szCs w:val="28"/>
        </w:rPr>
        <w:t>ежегодно, в срок до 01</w:t>
      </w:r>
      <w:r w:rsidR="003C7506">
        <w:rPr>
          <w:rFonts w:ascii="Times New Roman" w:hAnsi="Times New Roman"/>
          <w:sz w:val="28"/>
          <w:szCs w:val="28"/>
        </w:rPr>
        <w:t xml:space="preserve"> марта</w:t>
      </w:r>
      <w:r w:rsidR="00EA2BBA">
        <w:rPr>
          <w:rFonts w:ascii="Times New Roman" w:hAnsi="Times New Roman"/>
          <w:sz w:val="28"/>
          <w:szCs w:val="28"/>
        </w:rPr>
        <w:t xml:space="preserve"> года, следующего </w:t>
      </w:r>
      <w:proofErr w:type="gramStart"/>
      <w:r w:rsidR="00EA2BBA">
        <w:rPr>
          <w:rFonts w:ascii="Times New Roman" w:hAnsi="Times New Roman"/>
          <w:sz w:val="28"/>
          <w:szCs w:val="28"/>
        </w:rPr>
        <w:t>за</w:t>
      </w:r>
      <w:proofErr w:type="gramEnd"/>
      <w:r w:rsidR="00EA2B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2BBA">
        <w:rPr>
          <w:rFonts w:ascii="Times New Roman" w:hAnsi="Times New Roman"/>
          <w:sz w:val="28"/>
          <w:szCs w:val="28"/>
        </w:rPr>
        <w:t>отчетным</w:t>
      </w:r>
      <w:proofErr w:type="gramEnd"/>
      <w:r w:rsidR="006B0427">
        <w:rPr>
          <w:rFonts w:ascii="Times New Roman" w:hAnsi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B0427" w:rsidRDefault="006B0427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программы:</w:t>
      </w:r>
    </w:p>
    <w:p w:rsidR="00883C25" w:rsidRDefault="00883C25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разработке проекта муниципальной программы и осуществляют реализацию мероприятий в рамках своей компетенции;</w:t>
      </w:r>
    </w:p>
    <w:p w:rsidR="006B0427" w:rsidRDefault="006B0427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3C25">
        <w:rPr>
          <w:rFonts w:ascii="Times New Roman" w:hAnsi="Times New Roman"/>
          <w:sz w:val="28"/>
          <w:szCs w:val="28"/>
        </w:rPr>
        <w:t>несут ответственность за достижение целевых показателей (индикаторов) муниципальной программы и эффективное использование бюджетных сре</w:t>
      </w:r>
      <w:proofErr w:type="gramStart"/>
      <w:r w:rsidR="00883C25">
        <w:rPr>
          <w:rFonts w:ascii="Times New Roman" w:hAnsi="Times New Roman"/>
          <w:sz w:val="28"/>
          <w:szCs w:val="28"/>
        </w:rPr>
        <w:t>дств в р</w:t>
      </w:r>
      <w:proofErr w:type="gramEnd"/>
      <w:r w:rsidR="00883C25">
        <w:rPr>
          <w:rFonts w:ascii="Times New Roman" w:hAnsi="Times New Roman"/>
          <w:sz w:val="28"/>
          <w:szCs w:val="28"/>
        </w:rPr>
        <w:t>амках своей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6B0427" w:rsidRDefault="006B0427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2BEA">
        <w:rPr>
          <w:rFonts w:ascii="Times New Roman" w:hAnsi="Times New Roman"/>
          <w:sz w:val="28"/>
          <w:szCs w:val="28"/>
        </w:rPr>
        <w:t xml:space="preserve">представляют в установленный срок ответственному исполнителю необходимую информацию для подготовки ответов на запросы </w:t>
      </w:r>
      <w:r w:rsidR="00262BEA">
        <w:rPr>
          <w:rFonts w:ascii="Times New Roman" w:hAnsi="Times New Roman"/>
          <w:sz w:val="28"/>
          <w:szCs w:val="28"/>
        </w:rPr>
        <w:lastRenderedPageBreak/>
        <w:t>уполномоченных органов, а также отчет о ходе реализации мероприятий программы;</w:t>
      </w:r>
    </w:p>
    <w:p w:rsidR="00262BEA" w:rsidRDefault="00262BEA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D23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="005B0D23">
        <w:rPr>
          <w:rFonts w:ascii="Times New Roman" w:hAnsi="Times New Roman"/>
          <w:sz w:val="28"/>
          <w:szCs w:val="28"/>
        </w:rPr>
        <w:t>за</w:t>
      </w:r>
      <w:proofErr w:type="gramEnd"/>
      <w:r w:rsidR="005B0D23">
        <w:rPr>
          <w:rFonts w:ascii="Times New Roman" w:hAnsi="Times New Roman"/>
          <w:sz w:val="28"/>
          <w:szCs w:val="28"/>
        </w:rPr>
        <w:t xml:space="preserve"> отчетным</w:t>
      </w:r>
      <w:r>
        <w:rPr>
          <w:rFonts w:ascii="Times New Roman" w:hAnsi="Times New Roman"/>
          <w:sz w:val="28"/>
          <w:szCs w:val="28"/>
        </w:rPr>
        <w:t>;</w:t>
      </w:r>
    </w:p>
    <w:p w:rsidR="00737F0C" w:rsidRPr="00737F0C" w:rsidRDefault="00737F0C" w:rsidP="00ED0B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0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92834">
        <w:rPr>
          <w:rFonts w:ascii="Times New Roman" w:hAnsi="Times New Roman"/>
          <w:sz w:val="28"/>
          <w:szCs w:val="28"/>
        </w:rPr>
        <w:t>представляют</w:t>
      </w:r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>ответственному</w:t>
      </w:r>
      <w:proofErr w:type="spellEnd"/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исполнителю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 </w:t>
      </w:r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>информацию для проведения мониторинга о ходе реализации программ</w:t>
      </w:r>
      <w:proofErr w:type="gramStart"/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</w:t>
      </w:r>
      <w:r w:rsidRPr="00737F0C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>квартала), до 15 числа месяца, с</w:t>
      </w:r>
      <w:r w:rsidR="00192834">
        <w:rPr>
          <w:rFonts w:ascii="Times New Roman" w:eastAsia="Times New Roman" w:hAnsi="Times New Roman"/>
          <w:sz w:val="28"/>
          <w:szCs w:val="28"/>
          <w:lang w:eastAsia="ru-RU"/>
        </w:rPr>
        <w:t>ледующего за отчетным кварталом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2BEA" w:rsidRDefault="00262BEA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</w:t>
      </w:r>
      <w:r w:rsidR="00883C25">
        <w:rPr>
          <w:rFonts w:ascii="Times New Roman" w:hAnsi="Times New Roman"/>
          <w:sz w:val="28"/>
          <w:szCs w:val="28"/>
        </w:rPr>
        <w:t>еализации мероприятий программы;</w:t>
      </w:r>
    </w:p>
    <w:p w:rsidR="00883C25" w:rsidRPr="006B0427" w:rsidRDefault="00883C25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иные полномочия.</w:t>
      </w:r>
    </w:p>
    <w:p w:rsidR="00802D98" w:rsidRPr="000907F7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907F7">
        <w:rPr>
          <w:rFonts w:ascii="Times New Roman" w:hAnsi="Times New Roman"/>
          <w:sz w:val="28"/>
          <w:szCs w:val="28"/>
        </w:rPr>
        <w:t>В обязанность ответственного исполнителя</w:t>
      </w:r>
      <w:r w:rsidR="00802D98" w:rsidRPr="000907F7">
        <w:rPr>
          <w:rFonts w:ascii="Times New Roman" w:hAnsi="Times New Roman"/>
          <w:sz w:val="28"/>
          <w:szCs w:val="28"/>
        </w:rPr>
        <w:t xml:space="preserve"> муниципальной</w:t>
      </w:r>
      <w:r w:rsidRPr="000907F7">
        <w:rPr>
          <w:rFonts w:ascii="Times New Roman" w:hAnsi="Times New Roman"/>
          <w:sz w:val="28"/>
          <w:szCs w:val="28"/>
        </w:rPr>
        <w:t xml:space="preserve"> программы входит  ведение реестра СОНКО – получателей поддержки и размещение его на официальном сайте ответственного исполнителя в сети «Интернет», обратившихся в Управление социальной  защиты населения </w:t>
      </w:r>
      <w:r w:rsidR="00802D98" w:rsidRPr="000907F7">
        <w:rPr>
          <w:rFonts w:ascii="Times New Roman" w:hAnsi="Times New Roman"/>
          <w:sz w:val="28"/>
          <w:szCs w:val="28"/>
        </w:rPr>
        <w:t xml:space="preserve">администрации </w:t>
      </w:r>
      <w:r w:rsidRPr="000907F7">
        <w:rPr>
          <w:rFonts w:ascii="Times New Roman" w:hAnsi="Times New Roman"/>
          <w:sz w:val="28"/>
          <w:szCs w:val="28"/>
        </w:rPr>
        <w:t>Чебаркульского городского округа за поддержкой, а также на основании сведений, представленных соисполнителями программы.</w:t>
      </w:r>
    </w:p>
    <w:p w:rsidR="00C3712E" w:rsidRDefault="000016C1" w:rsidP="00ED0BE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</w:t>
      </w:r>
      <w:r w:rsidR="00C3712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заместителем главы Чебаркульского городского округа по социальным вопросам. </w:t>
      </w:r>
    </w:p>
    <w:p w:rsidR="000016C1" w:rsidRPr="00E2686C" w:rsidRDefault="000016C1" w:rsidP="009E593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Оценка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</w:t>
      </w:r>
      <w:r w:rsidRPr="00E2686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 xml:space="preserve">округа от </w:t>
      </w:r>
      <w:r w:rsidR="00E2686C" w:rsidRPr="00E2686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>13.09</w:t>
      </w:r>
      <w:r w:rsidRPr="00E2686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>.20</w:t>
      </w:r>
      <w:r w:rsidR="00E2686C" w:rsidRPr="00E2686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>21</w:t>
      </w:r>
      <w:r w:rsidRPr="00E2686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 xml:space="preserve"> года № </w:t>
      </w:r>
      <w:r w:rsidR="00E2686C" w:rsidRPr="00E2686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>523</w:t>
      </w:r>
      <w:r w:rsidRPr="00E2686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>.</w:t>
      </w:r>
    </w:p>
    <w:p w:rsidR="00D55C7E" w:rsidRDefault="00D55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16C1" w:rsidRDefault="001273AB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Среднесрочный п</w:t>
      </w:r>
      <w:r w:rsidR="000016C1">
        <w:rPr>
          <w:rFonts w:ascii="Times New Roman" w:hAnsi="Times New Roman"/>
          <w:sz w:val="28"/>
          <w:szCs w:val="28"/>
        </w:rPr>
        <w:t>лан реализации мероприятий программы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54"/>
        <w:gridCol w:w="2464"/>
      </w:tblGrid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67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67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C15A9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15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финансовой поддержки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15A95" w:rsidP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Pr="00ED0BEB" w:rsidRDefault="00C15A95" w:rsidP="009E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 w:rsidP="00ED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азание имущественной поддержки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42" w:rsidRPr="00FF5FEF" w:rsidRDefault="00C15A95" w:rsidP="00FF5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 w:rsidP="00ED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6B3" w:rsidRPr="00ED0BEB" w:rsidRDefault="009E5932" w:rsidP="009E5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  <w:r w:rsidR="00625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15A95" w:rsidP="00ED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</w:t>
            </w:r>
            <w:r w:rsidR="00ED0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консультационной поддержки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B16749" w:rsidRDefault="00C15A95" w:rsidP="00C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D" w:rsidRDefault="0044458D" w:rsidP="0044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6B3" w:rsidRPr="007E0DE4" w:rsidRDefault="0044458D" w:rsidP="00444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ЧГО.</w:t>
            </w:r>
          </w:p>
        </w:tc>
      </w:tr>
    </w:tbl>
    <w:p w:rsidR="003E6616" w:rsidRDefault="003E6616" w:rsidP="00ED0BEB">
      <w:pPr>
        <w:spacing w:after="0" w:line="240" w:lineRule="auto"/>
        <w:ind w:firstLine="39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ED0BEB">
      <w:pPr>
        <w:spacing w:after="0" w:line="240" w:lineRule="auto"/>
        <w:ind w:firstLine="39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proofErr w:type="gramStart"/>
      <w:r w:rsidR="00BF7D27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муниципальной программы с указанием показателей (индикаторов)».</w:t>
      </w:r>
    </w:p>
    <w:p w:rsidR="00BF7D27" w:rsidRDefault="004757D4" w:rsidP="00ED0BEB">
      <w:pPr>
        <w:spacing w:after="0" w:line="240" w:lineRule="auto"/>
        <w:ind w:firstLine="39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Важнейшими результатами реализации муниципальной программы станут:</w:t>
      </w:r>
    </w:p>
    <w:p w:rsidR="004757D4" w:rsidRDefault="004757D4" w:rsidP="00ED0BEB">
      <w:pPr>
        <w:spacing w:after="0" w:line="240" w:lineRule="auto"/>
        <w:ind w:firstLine="39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3E661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44458D">
        <w:rPr>
          <w:rFonts w:ascii="Times New Roman" w:eastAsia="Times New Roman" w:hAnsi="Times New Roman"/>
          <w:sz w:val="28"/>
          <w:szCs w:val="28"/>
          <w:lang w:eastAsia="ru-RU"/>
        </w:rPr>
        <w:t xml:space="preserve">ценка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социально-экономической эффективности муниципальной программы будет проводиться на основе системы целевых показателей;</w:t>
      </w:r>
    </w:p>
    <w:p w:rsidR="004757D4" w:rsidRDefault="003E6616" w:rsidP="00ED0BEB">
      <w:pPr>
        <w:spacing w:after="0" w:line="240" w:lineRule="auto"/>
        <w:ind w:firstLine="39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</w:t>
      </w:r>
      <w:r w:rsidR="004757D4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объема и повышение качества социальных услуг, оказываемых гражданам, посредством обеспечения условий для эффективной деятельности и развития СОНКО.</w:t>
      </w:r>
    </w:p>
    <w:p w:rsidR="003E6616" w:rsidRDefault="003E6616" w:rsidP="004757D4">
      <w:pPr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134"/>
        <w:gridCol w:w="1701"/>
        <w:gridCol w:w="992"/>
        <w:gridCol w:w="709"/>
        <w:gridCol w:w="851"/>
        <w:gridCol w:w="708"/>
      </w:tblGrid>
      <w:tr w:rsidR="000016C1" w:rsidTr="00F14E5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F14E5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  <w:proofErr w:type="gramStart"/>
            <w:r w:rsidR="000016C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="000016C1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F14E5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показателя </w:t>
            </w:r>
            <w:r w:rsidR="000016C1">
              <w:rPr>
                <w:rFonts w:ascii="Times New Roman" w:eastAsia="Times New Roman" w:hAnsi="Times New Roman"/>
                <w:lang w:eastAsia="ru-RU"/>
              </w:rPr>
              <w:t>реализации меро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приятий муниципальной программы </w:t>
            </w:r>
            <w:r w:rsidR="000016C1">
              <w:rPr>
                <w:rFonts w:ascii="Times New Roman" w:eastAsia="Times New Roman" w:hAnsi="Times New Roman"/>
                <w:lang w:eastAsia="ru-RU"/>
              </w:rPr>
              <w:t>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Единицаизмерения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Базовое значение </w:t>
            </w:r>
            <w:r w:rsidR="00F14E53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оказателя (на н</w:t>
            </w:r>
            <w:r w:rsidR="00F14E53">
              <w:rPr>
                <w:rFonts w:ascii="Times New Roman" w:eastAsia="Times New Roman" w:hAnsi="Times New Roman"/>
                <w:lang w:eastAsia="ru-RU"/>
              </w:rPr>
              <w:t xml:space="preserve">ачало реализации муниципальной </w:t>
            </w:r>
            <w:r>
              <w:rPr>
                <w:rFonts w:ascii="Times New Roman" w:eastAsia="Times New Roman" w:hAnsi="Times New Roman"/>
                <w:lang w:eastAsia="ru-RU"/>
              </w:rPr>
              <w:t>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165975">
              <w:rPr>
                <w:rFonts w:ascii="Times New Roman" w:eastAsia="Times New Roman" w:hAnsi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E5932" w:rsidRDefault="009E5932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Планируемое</w:t>
            </w: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значение показателя </w:t>
            </w: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F14E53">
        <w:trPr>
          <w:trHeight w:val="5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8F" w:rsidRPr="00FF15F2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</w:p>
          <w:p w:rsidR="000016C1" w:rsidRDefault="00ED0BEB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0016C1" w:rsidRPr="00FF15F2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 w:rsidR="00ED0BEB">
              <w:rPr>
                <w:rFonts w:ascii="Times New Roman" w:eastAsia="Times New Roman" w:hAnsi="Times New Roman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27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 w:rsidR="00ED0BEB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0016C1" w:rsidRDefault="000016C1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0016C1" w:rsidTr="00F14E53">
        <w:trPr>
          <w:trHeight w:val="2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165975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  <w:r w:rsidR="000016C1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F14E5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32B3" w:rsidTr="00F14E53">
        <w:trPr>
          <w:trHeight w:val="7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24327">
              <w:rPr>
                <w:rFonts w:ascii="Times New Roman" w:eastAsia="Times New Roman" w:hAnsi="Times New Roman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</w:t>
            </w:r>
            <w:proofErr w:type="gramEnd"/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оказана финансовая поддержка</w:t>
            </w: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165975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00134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44458D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44458D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44458D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A32B3" w:rsidTr="00F14E53">
        <w:trPr>
          <w:trHeight w:val="7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5B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действующих договоров безвозмездного пользования, заключенных с СОНКО;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5B4AF2" w:rsidP="00F14E5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165975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FD1E0D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AF66F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AF66F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AF66F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A32B3" w:rsidTr="00F14E53">
        <w:trPr>
          <w:trHeight w:val="16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165975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184447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184447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184447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184447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A32B3" w:rsidTr="00F14E53">
        <w:trPr>
          <w:trHeight w:val="6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9E5932" w:rsidP="00F14E53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</w:t>
            </w:r>
            <w:r w:rsidR="00EA32B3">
              <w:rPr>
                <w:rFonts w:ascii="Times New Roman" w:eastAsia="Times New Roman" w:hAnsi="Times New Roman"/>
                <w:bCs/>
                <w:lang w:eastAsia="ru-RU"/>
              </w:rPr>
              <w:t xml:space="preserve">СОНКО, </w:t>
            </w:r>
            <w:proofErr w:type="gramStart"/>
            <w:r w:rsidR="00EA32B3">
              <w:rPr>
                <w:rFonts w:ascii="Times New Roman" w:eastAsia="Times New Roman" w:hAnsi="Times New Roman"/>
                <w:bCs/>
                <w:lang w:eastAsia="ru-RU"/>
              </w:rPr>
              <w:t>которые</w:t>
            </w:r>
            <w:proofErr w:type="gramEnd"/>
            <w:r w:rsidR="00EA32B3">
              <w:rPr>
                <w:rFonts w:ascii="Times New Roman" w:eastAsia="Times New Roman" w:hAnsi="Times New Roman"/>
                <w:bCs/>
                <w:lang w:eastAsia="ru-RU"/>
              </w:rPr>
              <w:t xml:space="preserve"> приняли участие в информационно – методических мероприятиях в течение отчетного периода.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184447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D14BC6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D14BC6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D14BC6" w:rsidP="00F14E5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0016C1" w:rsidRDefault="000016C1" w:rsidP="009E593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8. «Финансово-экономическое обоснование муниципальной программы».</w:t>
      </w:r>
    </w:p>
    <w:p w:rsidR="009E5932" w:rsidRDefault="009E5932" w:rsidP="009E593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0016C1" w:rsidRDefault="000016C1" w:rsidP="009E593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A445F2">
        <w:rPr>
          <w:rFonts w:ascii="Times New Roman" w:hAnsi="Times New Roman"/>
          <w:sz w:val="28"/>
          <w:szCs w:val="28"/>
        </w:rPr>
        <w:t xml:space="preserve">муниципальной </w:t>
      </w:r>
      <w:r w:rsidR="0044458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0016C1" w:rsidRDefault="009E5932" w:rsidP="009E593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</w:t>
      </w:r>
      <w:r w:rsidR="000016C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естного бюджета осуществляется </w:t>
      </w:r>
      <w:r w:rsidR="000016C1"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z w:val="28"/>
          <w:szCs w:val="28"/>
        </w:rPr>
        <w:t xml:space="preserve">иде </w:t>
      </w:r>
      <w:r w:rsidR="000016C1">
        <w:rPr>
          <w:rFonts w:ascii="Times New Roman" w:hAnsi="Times New Roman"/>
          <w:sz w:val="28"/>
          <w:szCs w:val="28"/>
        </w:rPr>
        <w:t xml:space="preserve">субсидии </w:t>
      </w:r>
      <w:proofErr w:type="spellStart"/>
      <w:r w:rsidR="000016C1">
        <w:rPr>
          <w:rFonts w:ascii="Times New Roman" w:hAnsi="Times New Roman"/>
          <w:sz w:val="28"/>
          <w:szCs w:val="28"/>
        </w:rPr>
        <w:t>СОНКО</w:t>
      </w:r>
      <w:proofErr w:type="gramStart"/>
      <w:r w:rsidR="000016C1">
        <w:rPr>
          <w:rFonts w:ascii="Times New Roman" w:hAnsi="Times New Roman"/>
          <w:sz w:val="28"/>
          <w:szCs w:val="28"/>
        </w:rPr>
        <w:t>,о</w:t>
      </w:r>
      <w:proofErr w:type="gramEnd"/>
      <w:r w:rsidR="000016C1">
        <w:rPr>
          <w:rFonts w:ascii="Times New Roman" w:hAnsi="Times New Roman"/>
          <w:sz w:val="28"/>
          <w:szCs w:val="28"/>
        </w:rPr>
        <w:t>существляющих</w:t>
      </w:r>
      <w:proofErr w:type="spellEnd"/>
      <w:r w:rsidR="000016C1">
        <w:rPr>
          <w:rFonts w:ascii="Times New Roman" w:hAnsi="Times New Roman"/>
          <w:sz w:val="28"/>
          <w:szCs w:val="28"/>
        </w:rPr>
        <w:t xml:space="preserve"> деятельность на территории Чебаркульского городского округа. 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0016C1" w:rsidRDefault="000016C1" w:rsidP="009E5932">
      <w:pPr>
        <w:spacing w:after="0" w:line="240" w:lineRule="auto"/>
        <w:ind w:firstLine="397"/>
        <w:rPr>
          <w:rFonts w:ascii="Times New Roman" w:hAnsi="Times New Roman"/>
          <w:color w:val="000000"/>
          <w:sz w:val="28"/>
          <w:lang w:eastAsia="ru-RU" w:bidi="ru-RU"/>
        </w:rPr>
      </w:pPr>
    </w:p>
    <w:p w:rsidR="00CF6E68" w:rsidRDefault="00CF6E68" w:rsidP="009E5932">
      <w:pPr>
        <w:spacing w:after="0" w:line="240" w:lineRule="auto"/>
        <w:ind w:firstLine="397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0016C1" w:rsidRDefault="000016C1" w:rsidP="009E5932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Раздел 9. «Перечень и краткое описание  подпрограмм».</w:t>
      </w:r>
    </w:p>
    <w:p w:rsidR="009E5932" w:rsidRDefault="009E5932" w:rsidP="009E5932">
      <w:pPr>
        <w:spacing w:after="0" w:line="240" w:lineRule="auto"/>
        <w:ind w:firstLine="397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016C1" w:rsidRPr="00A445F2" w:rsidRDefault="000016C1" w:rsidP="009E5932">
      <w:pPr>
        <w:spacing w:after="0" w:line="240" w:lineRule="auto"/>
        <w:ind w:firstLine="397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Программа не имеет подпрограмм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0016C1" w:rsidRPr="00A445F2" w:rsidSect="00802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5F" w:rsidRDefault="000A135F" w:rsidP="00E11E6A">
      <w:pPr>
        <w:spacing w:after="0" w:line="240" w:lineRule="auto"/>
      </w:pPr>
      <w:r>
        <w:separator/>
      </w:r>
    </w:p>
  </w:endnote>
  <w:endnote w:type="continuationSeparator" w:id="0">
    <w:p w:rsidR="000A135F" w:rsidRDefault="000A135F" w:rsidP="00E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5F" w:rsidRDefault="000A135F" w:rsidP="00E11E6A">
      <w:pPr>
        <w:spacing w:after="0" w:line="240" w:lineRule="auto"/>
      </w:pPr>
      <w:r>
        <w:separator/>
      </w:r>
    </w:p>
  </w:footnote>
  <w:footnote w:type="continuationSeparator" w:id="0">
    <w:p w:rsidR="000A135F" w:rsidRDefault="000A135F" w:rsidP="00E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157400"/>
      <w:docPartObj>
        <w:docPartGallery w:val="Page Numbers (Top of Page)"/>
        <w:docPartUnique/>
      </w:docPartObj>
    </w:sdtPr>
    <w:sdtEndPr/>
    <w:sdtContent>
      <w:p w:rsidR="000A135F" w:rsidRDefault="00401DD9">
        <w:pPr>
          <w:pStyle w:val="a4"/>
          <w:jc w:val="center"/>
        </w:pPr>
        <w:r w:rsidRPr="00F14E53">
          <w:rPr>
            <w:rFonts w:ascii="Times New Roman" w:hAnsi="Times New Roman" w:cs="Times New Roman"/>
          </w:rPr>
          <w:fldChar w:fldCharType="begin"/>
        </w:r>
        <w:r w:rsidR="000A135F" w:rsidRPr="00F14E53">
          <w:rPr>
            <w:rFonts w:ascii="Times New Roman" w:hAnsi="Times New Roman" w:cs="Times New Roman"/>
          </w:rPr>
          <w:instrText>PAGE   \* MERGEFORMAT</w:instrText>
        </w:r>
        <w:r w:rsidRPr="00F14E53">
          <w:rPr>
            <w:rFonts w:ascii="Times New Roman" w:hAnsi="Times New Roman" w:cs="Times New Roman"/>
          </w:rPr>
          <w:fldChar w:fldCharType="separate"/>
        </w:r>
        <w:r w:rsidR="00EF2DD0">
          <w:rPr>
            <w:rFonts w:ascii="Times New Roman" w:hAnsi="Times New Roman" w:cs="Times New Roman"/>
            <w:noProof/>
          </w:rPr>
          <w:t>17</w:t>
        </w:r>
        <w:r w:rsidRPr="00F14E5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A135F" w:rsidRDefault="000A13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1233"/>
    <w:multiLevelType w:val="hybridMultilevel"/>
    <w:tmpl w:val="B4D6165A"/>
    <w:lvl w:ilvl="0" w:tplc="32FEBB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6043D"/>
    <w:multiLevelType w:val="hybridMultilevel"/>
    <w:tmpl w:val="AA061C24"/>
    <w:lvl w:ilvl="0" w:tplc="E69ED5AC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5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03B"/>
    <w:rsid w:val="000016C1"/>
    <w:rsid w:val="0000174E"/>
    <w:rsid w:val="00001A5D"/>
    <w:rsid w:val="00002BAB"/>
    <w:rsid w:val="00011283"/>
    <w:rsid w:val="00013753"/>
    <w:rsid w:val="00016F3E"/>
    <w:rsid w:val="0002148D"/>
    <w:rsid w:val="000504D8"/>
    <w:rsid w:val="000604AC"/>
    <w:rsid w:val="0006316B"/>
    <w:rsid w:val="00064B93"/>
    <w:rsid w:val="00066C61"/>
    <w:rsid w:val="00073714"/>
    <w:rsid w:val="00074B32"/>
    <w:rsid w:val="0007557D"/>
    <w:rsid w:val="00090079"/>
    <w:rsid w:val="000907F7"/>
    <w:rsid w:val="000A135F"/>
    <w:rsid w:val="000B62A5"/>
    <w:rsid w:val="000C53DF"/>
    <w:rsid w:val="000C724B"/>
    <w:rsid w:val="000D63F1"/>
    <w:rsid w:val="000F67BA"/>
    <w:rsid w:val="000F742A"/>
    <w:rsid w:val="001103D9"/>
    <w:rsid w:val="001269C2"/>
    <w:rsid w:val="00126A83"/>
    <w:rsid w:val="001273AB"/>
    <w:rsid w:val="0014731C"/>
    <w:rsid w:val="00155C2D"/>
    <w:rsid w:val="00163853"/>
    <w:rsid w:val="00165975"/>
    <w:rsid w:val="00172BD5"/>
    <w:rsid w:val="0017318A"/>
    <w:rsid w:val="001738B2"/>
    <w:rsid w:val="00184447"/>
    <w:rsid w:val="001924CC"/>
    <w:rsid w:val="00192834"/>
    <w:rsid w:val="001B1E1B"/>
    <w:rsid w:val="001E34DE"/>
    <w:rsid w:val="001E5065"/>
    <w:rsid w:val="001E6C32"/>
    <w:rsid w:val="001F38B0"/>
    <w:rsid w:val="00200E07"/>
    <w:rsid w:val="00245DEB"/>
    <w:rsid w:val="00246E60"/>
    <w:rsid w:val="00260C90"/>
    <w:rsid w:val="00262BEA"/>
    <w:rsid w:val="00265A94"/>
    <w:rsid w:val="0027374C"/>
    <w:rsid w:val="002757A7"/>
    <w:rsid w:val="00276F14"/>
    <w:rsid w:val="00280900"/>
    <w:rsid w:val="002854E7"/>
    <w:rsid w:val="002A02B3"/>
    <w:rsid w:val="002A28D8"/>
    <w:rsid w:val="002A43F5"/>
    <w:rsid w:val="002B4AC0"/>
    <w:rsid w:val="002B617E"/>
    <w:rsid w:val="002C00D0"/>
    <w:rsid w:val="002C45E3"/>
    <w:rsid w:val="002E582F"/>
    <w:rsid w:val="002F64E4"/>
    <w:rsid w:val="00315CB4"/>
    <w:rsid w:val="0032626F"/>
    <w:rsid w:val="00334CC9"/>
    <w:rsid w:val="00343FDB"/>
    <w:rsid w:val="00346321"/>
    <w:rsid w:val="003501CE"/>
    <w:rsid w:val="00353891"/>
    <w:rsid w:val="00364667"/>
    <w:rsid w:val="00365D9B"/>
    <w:rsid w:val="00371FF2"/>
    <w:rsid w:val="00373852"/>
    <w:rsid w:val="00374A03"/>
    <w:rsid w:val="00375647"/>
    <w:rsid w:val="00376426"/>
    <w:rsid w:val="00383E31"/>
    <w:rsid w:val="0039268F"/>
    <w:rsid w:val="0039466B"/>
    <w:rsid w:val="003A71FA"/>
    <w:rsid w:val="003A7E1F"/>
    <w:rsid w:val="003B69C3"/>
    <w:rsid w:val="003C3886"/>
    <w:rsid w:val="003C38C2"/>
    <w:rsid w:val="003C7506"/>
    <w:rsid w:val="003D33FA"/>
    <w:rsid w:val="003D3F15"/>
    <w:rsid w:val="003E055F"/>
    <w:rsid w:val="003E6616"/>
    <w:rsid w:val="003F7E24"/>
    <w:rsid w:val="00401DD9"/>
    <w:rsid w:val="004111DF"/>
    <w:rsid w:val="00434395"/>
    <w:rsid w:val="0044458D"/>
    <w:rsid w:val="00446A36"/>
    <w:rsid w:val="0047327A"/>
    <w:rsid w:val="004757D4"/>
    <w:rsid w:val="00475844"/>
    <w:rsid w:val="00483D8C"/>
    <w:rsid w:val="00486C46"/>
    <w:rsid w:val="00486FF1"/>
    <w:rsid w:val="00491D0A"/>
    <w:rsid w:val="004B6792"/>
    <w:rsid w:val="004C2528"/>
    <w:rsid w:val="004C5A05"/>
    <w:rsid w:val="004E6906"/>
    <w:rsid w:val="004F0A42"/>
    <w:rsid w:val="004F5D84"/>
    <w:rsid w:val="00504A47"/>
    <w:rsid w:val="00520B34"/>
    <w:rsid w:val="0052432D"/>
    <w:rsid w:val="00542CEC"/>
    <w:rsid w:val="005431A1"/>
    <w:rsid w:val="005454FF"/>
    <w:rsid w:val="00550878"/>
    <w:rsid w:val="00557770"/>
    <w:rsid w:val="005706AC"/>
    <w:rsid w:val="00580819"/>
    <w:rsid w:val="00582323"/>
    <w:rsid w:val="00587CE1"/>
    <w:rsid w:val="005964A2"/>
    <w:rsid w:val="005A66E7"/>
    <w:rsid w:val="005B0D23"/>
    <w:rsid w:val="005B2FF0"/>
    <w:rsid w:val="005B4AF2"/>
    <w:rsid w:val="005C003B"/>
    <w:rsid w:val="005C350E"/>
    <w:rsid w:val="005C4D50"/>
    <w:rsid w:val="005C5E19"/>
    <w:rsid w:val="005E6A42"/>
    <w:rsid w:val="005F0B62"/>
    <w:rsid w:val="0061372F"/>
    <w:rsid w:val="00622271"/>
    <w:rsid w:val="00625329"/>
    <w:rsid w:val="0063023D"/>
    <w:rsid w:val="00631B3C"/>
    <w:rsid w:val="00653F44"/>
    <w:rsid w:val="0065748D"/>
    <w:rsid w:val="006640C0"/>
    <w:rsid w:val="0066710A"/>
    <w:rsid w:val="00686964"/>
    <w:rsid w:val="006B0427"/>
    <w:rsid w:val="006B5477"/>
    <w:rsid w:val="006B6EAA"/>
    <w:rsid w:val="006D2D3A"/>
    <w:rsid w:val="006F0C55"/>
    <w:rsid w:val="006F71D7"/>
    <w:rsid w:val="00702356"/>
    <w:rsid w:val="00724D0A"/>
    <w:rsid w:val="00725403"/>
    <w:rsid w:val="007370BB"/>
    <w:rsid w:val="00737F0C"/>
    <w:rsid w:val="00742510"/>
    <w:rsid w:val="00754C15"/>
    <w:rsid w:val="00755D1A"/>
    <w:rsid w:val="00762BB7"/>
    <w:rsid w:val="00786411"/>
    <w:rsid w:val="00792A70"/>
    <w:rsid w:val="00793C0F"/>
    <w:rsid w:val="007959CC"/>
    <w:rsid w:val="007A03F1"/>
    <w:rsid w:val="007A1169"/>
    <w:rsid w:val="007A58B6"/>
    <w:rsid w:val="007D27EC"/>
    <w:rsid w:val="007D5843"/>
    <w:rsid w:val="007E628D"/>
    <w:rsid w:val="00800DC4"/>
    <w:rsid w:val="00802D98"/>
    <w:rsid w:val="0081078D"/>
    <w:rsid w:val="0081081B"/>
    <w:rsid w:val="00813BA5"/>
    <w:rsid w:val="008207A9"/>
    <w:rsid w:val="00824327"/>
    <w:rsid w:val="0084562A"/>
    <w:rsid w:val="008570DE"/>
    <w:rsid w:val="00870FE0"/>
    <w:rsid w:val="00883C25"/>
    <w:rsid w:val="00895874"/>
    <w:rsid w:val="008C06A0"/>
    <w:rsid w:val="008C3051"/>
    <w:rsid w:val="008D0E72"/>
    <w:rsid w:val="008D19D2"/>
    <w:rsid w:val="008E53CD"/>
    <w:rsid w:val="008F6C6B"/>
    <w:rsid w:val="009035E3"/>
    <w:rsid w:val="00910AD0"/>
    <w:rsid w:val="0093016A"/>
    <w:rsid w:val="00931BF1"/>
    <w:rsid w:val="009357EF"/>
    <w:rsid w:val="00940E60"/>
    <w:rsid w:val="009443C2"/>
    <w:rsid w:val="00955408"/>
    <w:rsid w:val="00956791"/>
    <w:rsid w:val="0097168E"/>
    <w:rsid w:val="0097370F"/>
    <w:rsid w:val="009861B1"/>
    <w:rsid w:val="009A139B"/>
    <w:rsid w:val="009A23ED"/>
    <w:rsid w:val="009C3FC2"/>
    <w:rsid w:val="009D0713"/>
    <w:rsid w:val="009E019F"/>
    <w:rsid w:val="009E5932"/>
    <w:rsid w:val="009E7CB2"/>
    <w:rsid w:val="009F4AC6"/>
    <w:rsid w:val="00A03919"/>
    <w:rsid w:val="00A23EED"/>
    <w:rsid w:val="00A30AA6"/>
    <w:rsid w:val="00A3320C"/>
    <w:rsid w:val="00A34DC8"/>
    <w:rsid w:val="00A4265E"/>
    <w:rsid w:val="00A445F2"/>
    <w:rsid w:val="00A46795"/>
    <w:rsid w:val="00A51713"/>
    <w:rsid w:val="00A567A5"/>
    <w:rsid w:val="00A6726E"/>
    <w:rsid w:val="00A97AE8"/>
    <w:rsid w:val="00AC2BEA"/>
    <w:rsid w:val="00AF66F3"/>
    <w:rsid w:val="00B07017"/>
    <w:rsid w:val="00B113F3"/>
    <w:rsid w:val="00B117A6"/>
    <w:rsid w:val="00B20A26"/>
    <w:rsid w:val="00B21DB4"/>
    <w:rsid w:val="00B26392"/>
    <w:rsid w:val="00B42477"/>
    <w:rsid w:val="00B45852"/>
    <w:rsid w:val="00B5530A"/>
    <w:rsid w:val="00B64785"/>
    <w:rsid w:val="00B67732"/>
    <w:rsid w:val="00B813E7"/>
    <w:rsid w:val="00B82180"/>
    <w:rsid w:val="00BA59AF"/>
    <w:rsid w:val="00BB2368"/>
    <w:rsid w:val="00BC2A40"/>
    <w:rsid w:val="00BC3E58"/>
    <w:rsid w:val="00BD3DBD"/>
    <w:rsid w:val="00BD4A5B"/>
    <w:rsid w:val="00BE7FB1"/>
    <w:rsid w:val="00BF1F8C"/>
    <w:rsid w:val="00BF3AAD"/>
    <w:rsid w:val="00BF6339"/>
    <w:rsid w:val="00BF7D27"/>
    <w:rsid w:val="00C01BE4"/>
    <w:rsid w:val="00C11B00"/>
    <w:rsid w:val="00C15A95"/>
    <w:rsid w:val="00C213C3"/>
    <w:rsid w:val="00C30BFC"/>
    <w:rsid w:val="00C32139"/>
    <w:rsid w:val="00C3712E"/>
    <w:rsid w:val="00C45A14"/>
    <w:rsid w:val="00C6291E"/>
    <w:rsid w:val="00C6763B"/>
    <w:rsid w:val="00C921E3"/>
    <w:rsid w:val="00C938C0"/>
    <w:rsid w:val="00C957D5"/>
    <w:rsid w:val="00CC0A61"/>
    <w:rsid w:val="00CC625E"/>
    <w:rsid w:val="00CD66B3"/>
    <w:rsid w:val="00CE00D6"/>
    <w:rsid w:val="00CE52C2"/>
    <w:rsid w:val="00CF07C0"/>
    <w:rsid w:val="00CF6E68"/>
    <w:rsid w:val="00D039C9"/>
    <w:rsid w:val="00D14BC6"/>
    <w:rsid w:val="00D1761A"/>
    <w:rsid w:val="00D2688B"/>
    <w:rsid w:val="00D27F19"/>
    <w:rsid w:val="00D3035E"/>
    <w:rsid w:val="00D34F33"/>
    <w:rsid w:val="00D40169"/>
    <w:rsid w:val="00D4020B"/>
    <w:rsid w:val="00D5338A"/>
    <w:rsid w:val="00D55C7E"/>
    <w:rsid w:val="00D6063E"/>
    <w:rsid w:val="00D82558"/>
    <w:rsid w:val="00D91816"/>
    <w:rsid w:val="00D95940"/>
    <w:rsid w:val="00DB4470"/>
    <w:rsid w:val="00DC3ED6"/>
    <w:rsid w:val="00DC4CB2"/>
    <w:rsid w:val="00DD07EB"/>
    <w:rsid w:val="00DD55AB"/>
    <w:rsid w:val="00DF3226"/>
    <w:rsid w:val="00E00134"/>
    <w:rsid w:val="00E0472C"/>
    <w:rsid w:val="00E11E6A"/>
    <w:rsid w:val="00E2686C"/>
    <w:rsid w:val="00E31B6E"/>
    <w:rsid w:val="00E43778"/>
    <w:rsid w:val="00E81D33"/>
    <w:rsid w:val="00E90E64"/>
    <w:rsid w:val="00E96033"/>
    <w:rsid w:val="00EA2BBA"/>
    <w:rsid w:val="00EA32B3"/>
    <w:rsid w:val="00EA458D"/>
    <w:rsid w:val="00EA6BE5"/>
    <w:rsid w:val="00EB0D59"/>
    <w:rsid w:val="00EB6609"/>
    <w:rsid w:val="00EC35B5"/>
    <w:rsid w:val="00ED0BEB"/>
    <w:rsid w:val="00ED50DC"/>
    <w:rsid w:val="00EE4A7A"/>
    <w:rsid w:val="00EF1B9A"/>
    <w:rsid w:val="00EF2DD0"/>
    <w:rsid w:val="00F0718B"/>
    <w:rsid w:val="00F11DDC"/>
    <w:rsid w:val="00F127B5"/>
    <w:rsid w:val="00F1432D"/>
    <w:rsid w:val="00F14E53"/>
    <w:rsid w:val="00F31657"/>
    <w:rsid w:val="00F40F20"/>
    <w:rsid w:val="00F417C2"/>
    <w:rsid w:val="00F43BEA"/>
    <w:rsid w:val="00F60AC7"/>
    <w:rsid w:val="00F64B86"/>
    <w:rsid w:val="00F82CCB"/>
    <w:rsid w:val="00F85B5A"/>
    <w:rsid w:val="00FA26B6"/>
    <w:rsid w:val="00FA43BB"/>
    <w:rsid w:val="00FA51F4"/>
    <w:rsid w:val="00FB1959"/>
    <w:rsid w:val="00FD1E0D"/>
    <w:rsid w:val="00FD3BC4"/>
    <w:rsid w:val="00FE1F54"/>
    <w:rsid w:val="00FE5746"/>
    <w:rsid w:val="00FF15F2"/>
    <w:rsid w:val="00FF330F"/>
    <w:rsid w:val="00FF3FA7"/>
    <w:rsid w:val="00FF5315"/>
    <w:rsid w:val="00FF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7C7B-AD2C-4134-9C67-BB59AE24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17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Чугунова Е.Н.</cp:lastModifiedBy>
  <cp:revision>59</cp:revision>
  <cp:lastPrinted>2021-10-06T07:03:00Z</cp:lastPrinted>
  <dcterms:created xsi:type="dcterms:W3CDTF">2019-11-15T11:27:00Z</dcterms:created>
  <dcterms:modified xsi:type="dcterms:W3CDTF">2021-10-06T07:04:00Z</dcterms:modified>
</cp:coreProperties>
</file>